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1729B">
      <w:pPr>
        <w:jc w:val="center"/>
      </w:pPr>
      <w:r>
        <w:drawing>
          <wp:inline distT="0" distB="0" distL="0" distR="0">
            <wp:extent cx="5524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5B66">
      <w:pPr>
        <w:jc w:val="center"/>
        <w:rPr>
          <w:szCs w:val="28"/>
        </w:rPr>
      </w:pPr>
    </w:p>
    <w:p w14:paraId="6CC468BD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  <w:r>
        <w:rPr>
          <w:rFonts w:ascii="Times New Roman" w:hAnsi="Times New Roman"/>
          <w:b/>
          <w:color w:val="0000FF"/>
          <w:spacing w:val="20"/>
          <w:sz w:val="28"/>
          <w:szCs w:val="28"/>
        </w:rPr>
        <w:t xml:space="preserve">АДМИНИСТРАЦИЯ ЗНАМЕНСКОГО РАЙОНА </w:t>
      </w:r>
    </w:p>
    <w:p w14:paraId="55C3DD07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  <w:r>
        <w:rPr>
          <w:rFonts w:ascii="Times New Roman" w:hAnsi="Times New Roman"/>
          <w:b/>
          <w:color w:val="0000FF"/>
          <w:spacing w:val="20"/>
          <w:sz w:val="28"/>
          <w:szCs w:val="28"/>
        </w:rPr>
        <w:t>ОРЛОВСКОЙ ОБЛАСТИ</w:t>
      </w:r>
    </w:p>
    <w:p w14:paraId="2A8F0D6B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</w:p>
    <w:p w14:paraId="7CAE3E62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  <w:r>
        <w:rPr>
          <w:rFonts w:ascii="Times New Roman" w:hAnsi="Times New Roman"/>
          <w:b/>
          <w:color w:val="0000FF"/>
          <w:spacing w:val="20"/>
          <w:sz w:val="28"/>
          <w:szCs w:val="28"/>
        </w:rPr>
        <w:t>ПОСТАНОВЛЕНИЕ</w:t>
      </w:r>
      <w:bookmarkStart w:id="0" w:name="_GoBack"/>
      <w:bookmarkEnd w:id="0"/>
    </w:p>
    <w:p w14:paraId="115DF93D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</w:p>
    <w:p w14:paraId="7A6542E2">
      <w:pPr>
        <w:jc w:val="center"/>
        <w:rPr>
          <w:rFonts w:ascii="Times New Roman" w:hAnsi="Times New Roman"/>
          <w:b/>
          <w:color w:val="0000FF"/>
          <w:spacing w:val="20"/>
          <w:sz w:val="28"/>
          <w:szCs w:val="28"/>
        </w:rPr>
      </w:pPr>
    </w:p>
    <w:p w14:paraId="6F48DF98">
      <w:pPr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«10» июля 2026 года                                                                               № 10</w:t>
      </w:r>
    </w:p>
    <w:p w14:paraId="77E22C5E">
      <w:pPr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с. Знаменское</w:t>
      </w:r>
    </w:p>
    <w:p w14:paraId="2D996CD8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</w:p>
    <w:p w14:paraId="785DC56C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</w:p>
    <w:p w14:paraId="5FCCE2D3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 составления, утверждения и установления показателей планов (программ) финансово-хозяйственной деятельности муниципальный казенных предприятий </w:t>
      </w:r>
    </w:p>
    <w:p w14:paraId="76CE48BD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Знаменского района Орловской области</w:t>
      </w:r>
    </w:p>
    <w:p w14:paraId="5DF308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BB7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/>
          <w:color w:val="060708"/>
          <w:sz w:val="28"/>
          <w:szCs w:val="28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Федеральным законом от 20 марта 2025 года № 33-ФЗ « 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"http://docs.cntd.ru/document/901834086" </w:instrText>
      </w:r>
      <w:r>
        <w:fldChar w:fldCharType="separate"/>
      </w:r>
      <w:r>
        <w:rPr>
          <w:rStyle w:val="5"/>
          <w:rFonts w:ascii="Times New Roman" w:hAnsi="Times New Roman"/>
          <w:color w:val="auto"/>
          <w:sz w:val="28"/>
          <w:szCs w:val="28"/>
          <w:u w:val="none"/>
        </w:rPr>
        <w:t>Федеральным законом от 14 ноября 2002 г. N 161-ФЗ «О государственных и муниципальных унитарных предприятий»</w:t>
      </w:r>
      <w:r>
        <w:rPr>
          <w:rStyle w:val="5"/>
          <w:rFonts w:ascii="Times New Roman" w:hAnsi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/>
          <w:sz w:val="28"/>
          <w:szCs w:val="28"/>
        </w:rPr>
        <w:t>,  Уставом Знаменского муниципального района Орловской области, в целях систематизации контроля и повышения эффективности деятельности муниципальных казенных предприятий,  Администрация Знаменского района Орловской области</w:t>
      </w:r>
    </w:p>
    <w:p w14:paraId="29B611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ПОСТАНОВЛЯЕТ:</w:t>
      </w:r>
    </w:p>
    <w:p w14:paraId="2C3F057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1C42D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составления, утверждения и установления показателей планов (программ) финансово-хозяйственной деятельности муниципальных казенных предприятий Знаменского района Орловской области, согласно приложению к настоящему постановлению.</w:t>
      </w:r>
    </w:p>
    <w:p w14:paraId="58825F83">
      <w:pPr>
        <w:spacing w:after="0" w:line="240" w:lineRule="auto"/>
        <w:jc w:val="both"/>
        <w:rPr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2. Отделу </w:t>
      </w:r>
      <w:r>
        <w:rPr>
          <w:rFonts w:ascii="Times New Roman" w:hAnsi="Times New Roman"/>
          <w:sz w:val="28"/>
          <w:szCs w:val="28"/>
        </w:rPr>
        <w:t xml:space="preserve"> экономики и трудовых ресурсов (И.Н. Выскребенцева) предоставить электронную версию настоящего постановления в отдел организационно-кадровой работы и делопроизводства (С.А. Черникова) для размещения на официальном сайте Администрации Знаменского района Орловской области в сети Интернет.</w:t>
      </w:r>
    </w:p>
    <w:p w14:paraId="7A215113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3. Контроль за выполнением настоящего постановления возложить на заместителя главы Администрации Знаменского района Басова А.А.</w:t>
      </w:r>
    </w:p>
    <w:p w14:paraId="519CE3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94FF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487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Знаменского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С.В.Семочкин</w:t>
      </w:r>
    </w:p>
    <w:p w14:paraId="5E0A4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CDEECD">
      <w:pPr>
        <w:spacing w:after="200" w:line="276" w:lineRule="auto"/>
        <w:rPr>
          <w:sz w:val="28"/>
          <w:szCs w:val="28"/>
        </w:rPr>
      </w:pPr>
    </w:p>
    <w:p w14:paraId="2355A0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469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D120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7BB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D820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047E4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81EC6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F78E2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B8DC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8A671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35960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86DD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259A7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EA1CB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A225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D0F8D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6C55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497B3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1387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793E6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46844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7EF49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29DEE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3DA51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ADDA6F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0A4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FD3C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23F9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F6206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5BF80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BEA38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A18E9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18F07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B48CF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36310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0A8A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465CA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F3BDE6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14:paraId="559CE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4616B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Знаменского района Орловской области </w:t>
      </w:r>
    </w:p>
    <w:p w14:paraId="5B5954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 июля 2026 г. № 267</w:t>
      </w:r>
    </w:p>
    <w:p w14:paraId="0D1123CA">
      <w:pPr>
        <w:rPr>
          <w:rFonts w:ascii="Times New Roman" w:hAnsi="Times New Roman"/>
          <w:sz w:val="24"/>
          <w:szCs w:val="24"/>
        </w:rPr>
      </w:pPr>
    </w:p>
    <w:p w14:paraId="3EE8C8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составления, утверждения и установления показателей планов (программ) финансово-хозяйственной деятельности муниципальных казенных предприятий Знаменского района Орловской области</w:t>
      </w:r>
    </w:p>
    <w:p w14:paraId="1A6D19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6CA4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1.Общие положения</w:t>
      </w:r>
    </w:p>
    <w:p w14:paraId="2C598F3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50A6F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Порядок составления, утверждения и установления показателей планов (программ) финансово-хозяйственной деятельности муниципальных казенных предприятий Знаменского района Орловской  области (далее – Порядок) разработан в соответствии с </w:t>
      </w:r>
      <w:r>
        <w:rPr>
          <w:rFonts w:ascii="Times New Roman" w:hAnsi="Times New Roman" w:eastAsia="Times New Roman"/>
          <w:color w:val="060708"/>
          <w:sz w:val="28"/>
          <w:szCs w:val="28"/>
          <w:lang w:eastAsia="ru-RU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 Федеральным законом от 20.03.2025 года № 33-ФЗ « 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"http://docs.cntd.ru/document/901834086" </w:instrText>
      </w:r>
      <w:r>
        <w:fldChar w:fldCharType="separate"/>
      </w:r>
      <w:r>
        <w:rPr>
          <w:rStyle w:val="5"/>
          <w:rFonts w:ascii="Times New Roman" w:hAnsi="Times New Roman"/>
          <w:color w:val="auto"/>
          <w:sz w:val="28"/>
          <w:szCs w:val="28"/>
          <w:u w:val="none"/>
        </w:rPr>
        <w:t>Федеральным законом от 14 ноября 2002 года № 161-ФЗ «О государственных и муниципальных унитарных предприятий»</w:t>
      </w:r>
      <w:r>
        <w:rPr>
          <w:rStyle w:val="5"/>
          <w:rFonts w:ascii="Times New Roman" w:hAnsi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/>
          <w:sz w:val="28"/>
          <w:szCs w:val="28"/>
        </w:rPr>
        <w:t>,  Уставом Знаменского муниципального района Орловской области.</w:t>
      </w:r>
    </w:p>
    <w:p w14:paraId="4E118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Настоящий Порядок устанавливает общие требования к составлению, утверждению и установлению показателей планов (программ) финансово-хозяйственной деятельности муниципальных казенных предприятий Знаменского района Орловской  области (далее – МКП).</w:t>
      </w:r>
    </w:p>
    <w:p w14:paraId="1121D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9CC5C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составления, утверждения и установления показателей планов (программ) финансово-хозяйственной деятельности муниципальных казенных предприятий</w:t>
      </w:r>
    </w:p>
    <w:p w14:paraId="09E44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9EE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МКП самостоятельно разрабатывает план (программу) финансово-хозяйственной деятельности предприятия (далее – ПФХД) в соответствии с настоящим Порядком.</w:t>
      </w:r>
    </w:p>
    <w:p w14:paraId="61521C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ПФХД составляется ежегодно на следующий финансовый год по форме согласно приложению №1 к настоящему Порядку.</w:t>
      </w:r>
    </w:p>
    <w:p w14:paraId="799230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ПФХД МКП ежегодно утверждается постановлением Администрации Знаменского района Орловской области не позднее 10 декабря, года предшествующего планируемому.</w:t>
      </w:r>
    </w:p>
    <w:p w14:paraId="428C0B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МКП до 15 сентября  года, предшествующему планируемому году, представляет в Администрацию Знаменского района Орловской области (далее – администрация района) проект ПФХД МКП на рассмотрение и утверждение с приложением пояснительной записки.</w:t>
      </w:r>
    </w:p>
    <w:p w14:paraId="4BC29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Администрация района рассматривает проект ПФХД МКП в срок не более 20 рабочих дней с момента поступления на рассмотрение.</w:t>
      </w:r>
    </w:p>
    <w:p w14:paraId="6647B9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 случае отсутствия замечаний к проекту ПФХД МКП администрации района подготавливает проект постановления Администрации Знаменского района Орловской области об утверждении  ПФХД МКП.</w:t>
      </w:r>
    </w:p>
    <w:p w14:paraId="65A4B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В случае наличия замечаний к проекту ПФХД МКП администрации района направляет проект ПФХД МКП на доработку.</w:t>
      </w:r>
    </w:p>
    <w:p w14:paraId="2DE9B2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МКП в течение 10 рабочих дней с момента возвращения проекта ПФХД МКП дорабатывает его и возвращает в администрацию района.</w:t>
      </w:r>
    </w:p>
    <w:p w14:paraId="4A8FD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Пояснительная записка к проекту ПФХД МКП должна содержать технико-экономическое обоснование планируемых мероприятий, затрат на их реализацию и информацию об ожидаемом экономическом эффекте их реализации.</w:t>
      </w:r>
    </w:p>
    <w:p w14:paraId="103F98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Администрация района после получения доработанного проекта ПФХД МКП подготавливает проект постановления Администрации Знаменского района Орловской области об утверждении ПФХД МКП.</w:t>
      </w:r>
    </w:p>
    <w:p w14:paraId="3A499D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В течение планируемого периода утвержденный ПФХД МКП при необходимости может уточняться и изменяться.</w:t>
      </w:r>
    </w:p>
    <w:p w14:paraId="7E0EC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Уточнения и изменения ПФХД МКП осуществляются при наличии соответствующих обоснований и расчетов на величину изменённых показателей.</w:t>
      </w:r>
    </w:p>
    <w:p w14:paraId="3BCF0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B3E0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ПФХД муниципального казенного предприятия</w:t>
      </w:r>
    </w:p>
    <w:p w14:paraId="2E91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612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Администрация района осуществляет контроль за выполнением МКП ПФХД предприятия, согласовывает бухгалтерскую отчетность, утверждает отчет об исполнении ПФХД МКП.</w:t>
      </w:r>
    </w:p>
    <w:p w14:paraId="2C169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МКП ежегодно до 20 февраля текущего года представляет в администрацию района:</w:t>
      </w:r>
    </w:p>
    <w:p w14:paraId="3F31F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годовую бухгалтерскую отчетность в составе: бухгалтерский баланс с приложениями и пояснительной запиской с отметкой о принятии его  налоговым органом;</w:t>
      </w:r>
    </w:p>
    <w:p w14:paraId="3F051B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 об исполнении ПФХД МКП (по форме согласно приложению  № 2 к настоящему Порядку) с предложениями по улучшению работы предприятия.</w:t>
      </w:r>
    </w:p>
    <w:p w14:paraId="3835F0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Администрация района рассматривает представленные в соответствии с пунктом 15 настоящего Порядка документы в срок не более 5 рабочих дней с момента поступления на согласование.</w:t>
      </w:r>
    </w:p>
    <w:p w14:paraId="6F991B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замечаний к представленным документам администрация возвращает МКП представленные для согласования документы для устранения замечаний.</w:t>
      </w:r>
    </w:p>
    <w:p w14:paraId="118DC7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МКП в течение 10 рабочих дней с момента поступления документов устраняет замечания и возвращает документы в администрацию района.</w:t>
      </w:r>
    </w:p>
    <w:p w14:paraId="07776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73C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B13D9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01568F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C161C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73FA2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79912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14:paraId="70FD7AC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 xml:space="preserve">составления, утверждения и </w:t>
      </w:r>
    </w:p>
    <w:p w14:paraId="4044A3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установления планов (программ)</w:t>
      </w:r>
    </w:p>
    <w:p w14:paraId="32B7A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финансово-хозяйственной</w:t>
      </w:r>
    </w:p>
    <w:p w14:paraId="681B6F4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деятельности муниципальных</w:t>
      </w:r>
    </w:p>
    <w:p w14:paraId="181062D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казенных предприятий</w:t>
      </w:r>
    </w:p>
    <w:p w14:paraId="5A1E90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1466DD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3"/>
        <w:tblW w:w="994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243"/>
        <w:gridCol w:w="1134"/>
        <w:gridCol w:w="993"/>
        <w:gridCol w:w="1275"/>
        <w:gridCol w:w="992"/>
        <w:gridCol w:w="705"/>
        <w:gridCol w:w="707"/>
        <w:gridCol w:w="691"/>
        <w:gridCol w:w="636"/>
        <w:gridCol w:w="31"/>
      </w:tblGrid>
      <w:tr w14:paraId="4DCBD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945" w:hRule="atLeast"/>
        </w:trPr>
        <w:tc>
          <w:tcPr>
            <w:tcW w:w="99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594A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(ПРОГРАММА)</w:t>
            </w:r>
          </w:p>
          <w:p w14:paraId="59A9BFE5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финансово-хозяйственной деятельности</w:t>
            </w:r>
          </w:p>
        </w:tc>
      </w:tr>
      <w:tr w14:paraId="3128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991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0975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D92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99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3E784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муниципального унитарного предприятия)</w:t>
            </w:r>
          </w:p>
        </w:tc>
      </w:tr>
      <w:tr w14:paraId="50AC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99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FAEA6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83C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B717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217C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показатели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EA85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 за предыду-щий период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B6BC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Текущий период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C8F51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Плано-вый период</w:t>
            </w:r>
          </w:p>
        </w:tc>
        <w:tc>
          <w:tcPr>
            <w:tcW w:w="2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02594B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том числе по кварталам</w:t>
            </w:r>
          </w:p>
        </w:tc>
      </w:tr>
      <w:tr w14:paraId="7FBB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54C2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6E2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27D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FE1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069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ожидаемое выполнение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D20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D16FF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FD808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II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44F43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III</w:t>
            </w: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BA9987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IV</w:t>
            </w:r>
          </w:p>
        </w:tc>
      </w:tr>
      <w:tr w14:paraId="07BB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599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64B6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E510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F0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20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9F15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03FBB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C384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9A73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3834C5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14:paraId="5E84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F6CC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C0D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Объём реализации основных видов товаров (работ, услуг) в натуральном выражении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25B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BC52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E52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F8C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2DFF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A81B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2A97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70488F">
            <w:pPr>
              <w:spacing w:line="240" w:lineRule="auto"/>
              <w:rPr>
                <w:sz w:val="28"/>
                <w:szCs w:val="28"/>
              </w:rPr>
            </w:pPr>
          </w:p>
        </w:tc>
      </w:tr>
      <w:tr w14:paraId="374A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BF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CEE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Выручка от реализации товаров (работ, услуг), всего тыс. руб., в том числе:</w:t>
            </w:r>
          </w:p>
          <w:p w14:paraId="693F7B2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основного вида деятельности;</w:t>
            </w:r>
          </w:p>
          <w:p w14:paraId="6ADB44E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неосновного вида деятельности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E554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1CE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D0B4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193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CB38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A7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8061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5CD01FE">
            <w:pPr>
              <w:spacing w:line="240" w:lineRule="auto"/>
              <w:rPr>
                <w:sz w:val="28"/>
                <w:szCs w:val="28"/>
              </w:rPr>
            </w:pPr>
          </w:p>
        </w:tc>
      </w:tr>
      <w:tr w14:paraId="1575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F39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0D3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средства, тыс. руб.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E02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F2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AAD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984B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B3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4643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43E29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E0AEAE">
            <w:pPr>
              <w:spacing w:line="240" w:lineRule="auto"/>
              <w:rPr>
                <w:sz w:val="28"/>
                <w:szCs w:val="28"/>
              </w:rPr>
            </w:pPr>
          </w:p>
        </w:tc>
      </w:tr>
      <w:tr w14:paraId="3F10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3C3F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5DB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Расходы, связанные с реализацией товаров (работ, услуг), всего тыс. руб., в том числе:</w:t>
            </w:r>
          </w:p>
          <w:p w14:paraId="5905E1F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а) по основному виду деятельности, в том числе:</w:t>
            </w:r>
          </w:p>
          <w:p w14:paraId="7904B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материальные затраты;</w:t>
            </w:r>
          </w:p>
          <w:p w14:paraId="72ECB0A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затраты на оплату труда;</w:t>
            </w:r>
          </w:p>
          <w:p w14:paraId="12EBD4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отчисления на страховые взносы;</w:t>
            </w:r>
          </w:p>
          <w:p w14:paraId="623BF04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амортизация;</w:t>
            </w:r>
          </w:p>
          <w:p w14:paraId="28A4E6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затраты;</w:t>
            </w:r>
          </w:p>
          <w:p w14:paraId="487623E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б) от неосновного вида деятельности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DACA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34FA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1B4C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FFD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F255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F9B6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5876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7CDC0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1C94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FC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FD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Прибыль (убыток) от продаж, тыс. руб., в том числе по основному виду деятельности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2E8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B40B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AD7C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6CE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DA79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F26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0CA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46B7D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43C0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133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07C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Прибыль (убыток) до налогообложения, тыс. руб.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3D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A3E2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D17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BB9B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DAC9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FB1F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A66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2230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30666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BEF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D1C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Прибыль, перечисленная в местный бюджет, за использование муниципального имущества, принадлежащего на праве оперативного управления тыс. руб.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4B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A78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56BE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E5BB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3421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FD33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ABD4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A1155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1661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202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5B8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Прибыль (убыток), тыс. руб.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7F1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B938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E8C5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FE68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29D9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5A7E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DB2A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4E0B9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3FC69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88F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D284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Фонд оплаты труда работников, всего тыс. руб., в том числе фонд оплаты труда работающих по договорам и совместительству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560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59D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7D9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5741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0CD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EFEF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F650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4B431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126D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1E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D067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работников, всего человек, в том числе: АУП и ИТР;</w:t>
            </w:r>
          </w:p>
          <w:p w14:paraId="1575F4C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рабочих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3EDB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65CE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522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C3F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D755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A3EE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7B9D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FE0B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79630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021D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559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Среднемесячная заработная плата одного работника, руб., в том числе: </w:t>
            </w:r>
          </w:p>
          <w:p w14:paraId="4BDC376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АУП и ИТР</w:t>
            </w:r>
          </w:p>
          <w:p w14:paraId="7ED0D8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рабочих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EF28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9C64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A42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4856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CE41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3DED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BE78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5732E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5F5A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952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5B70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за счёт всех источников финансирования, тыс. руб., в том числе за счёт собственных средств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73B9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321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4A48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8EFD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D5C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48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0A5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984DA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4E5C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279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0EDE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Доходы, полученные от сдачи в аренду имущества, всего тыс. руб., в том числе:</w:t>
            </w:r>
          </w:p>
          <w:p w14:paraId="154ECE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недвижимого имущества (за вычетом затрат по аренде);</w:t>
            </w:r>
          </w:p>
          <w:p w14:paraId="6E2A76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движимого имущества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C9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420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6FE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E461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1FA4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C88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FE97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1535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125E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F28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387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чистых активов, тыс. руб.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07B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E58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CAE3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8BB8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A98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843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0A59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BC097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5704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19E6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B67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Рентабельность продаж, % </w:t>
            </w:r>
          </w:p>
          <w:p w14:paraId="293564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(стр. 5/стр. 2 + стр. 3)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A225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300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91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7CC7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9FCA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A64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9FC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DEABE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0CB7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2C9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E697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Дебиторская задолженность на конец отчётного периода, всего тыс. руб., в том числе покупатели и заказчики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D3A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31A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737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4412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C884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377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F4F0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3BC2A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14:paraId="4BE7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341B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505E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Кредиторская задолженность на конец отчетного периода, всего тыс. руб., в том числе: поставщики и подрядчики;</w:t>
            </w:r>
          </w:p>
          <w:p w14:paraId="2251C8B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налогам и сборам;</w:t>
            </w:r>
          </w:p>
          <w:p w14:paraId="0ED858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 работниками предприятия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34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55C7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56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B1A1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2474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5669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D77A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04F309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FF19C0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BD37AB">
      <w:pPr>
        <w:shd w:val="clear" w:color="auto" w:fill="FFFFFF"/>
        <w:spacing w:after="0" w:line="216" w:lineRule="atLeast"/>
        <w:jc w:val="right"/>
        <w:textAlignment w:val="baseline"/>
        <w:rPr>
          <w:rFonts w:ascii="Courier New" w:hAnsi="Courier New" w:eastAsia="MS Mincho" w:cs="Courier New"/>
          <w:color w:val="2D2D2D"/>
          <w:spacing w:val="1"/>
          <w:sz w:val="14"/>
          <w:szCs w:val="14"/>
          <w:lang w:eastAsia="ja-JP"/>
        </w:rPr>
      </w:pPr>
    </w:p>
    <w:p w14:paraId="64336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CF5D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9E4F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339F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7956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5BC4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D1DE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411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1CC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91B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F4E0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48BA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0A44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BC6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4D5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C209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A0A6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685C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8777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14F44F">
      <w:pPr>
        <w:spacing w:after="0" w:line="240" w:lineRule="auto"/>
        <w:rPr>
          <w:rStyle w:val="19"/>
          <w:rFonts w:ascii="Times New Roman" w:hAnsi="Times New Roman"/>
          <w:b w:val="0"/>
          <w:bCs/>
          <w:color w:val="auto"/>
          <w:sz w:val="21"/>
          <w:szCs w:val="21"/>
        </w:rPr>
      </w:pPr>
    </w:p>
    <w:p w14:paraId="4F47C9C6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1"/>
          <w:szCs w:val="21"/>
        </w:rPr>
      </w:pPr>
    </w:p>
    <w:p w14:paraId="210F3A7F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31D9D5C0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39E31F8D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1DFE9918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6E4AD254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38B29929">
      <w:pPr>
        <w:spacing w:after="0" w:line="240" w:lineRule="auto"/>
        <w:jc w:val="right"/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  <w:t>Приложение № 2</w:t>
      </w:r>
    </w:p>
    <w:p w14:paraId="6F0FBE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Style w:val="19"/>
          <w:rFonts w:ascii="Times New Roman" w:hAnsi="Times New Roman"/>
          <w:b w:val="0"/>
          <w:bCs/>
          <w:color w:val="auto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 xml:space="preserve">составления, утверждения и </w:t>
      </w:r>
    </w:p>
    <w:p w14:paraId="710B1A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установления планов (программ)</w:t>
      </w:r>
    </w:p>
    <w:p w14:paraId="28F95D0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финансово-хозяйственной</w:t>
      </w:r>
    </w:p>
    <w:p w14:paraId="519B31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деятельности муниципальных</w:t>
      </w:r>
    </w:p>
    <w:p w14:paraId="21D362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казенных предприятий </w:t>
      </w:r>
    </w:p>
    <w:p w14:paraId="1CAFA130">
      <w:pPr>
        <w:jc w:val="both"/>
        <w:rPr>
          <w:sz w:val="28"/>
          <w:szCs w:val="28"/>
        </w:rPr>
      </w:pPr>
    </w:p>
    <w:p w14:paraId="73558E2A">
      <w:pPr>
        <w:jc w:val="right"/>
        <w:rPr>
          <w:sz w:val="28"/>
          <w:szCs w:val="28"/>
        </w:rPr>
      </w:pPr>
    </w:p>
    <w:tbl>
      <w:tblPr>
        <w:tblStyle w:val="3"/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440"/>
        <w:gridCol w:w="900"/>
        <w:gridCol w:w="280"/>
        <w:gridCol w:w="44"/>
        <w:gridCol w:w="124"/>
        <w:gridCol w:w="112"/>
        <w:gridCol w:w="140"/>
        <w:gridCol w:w="208"/>
        <w:gridCol w:w="492"/>
        <w:gridCol w:w="580"/>
        <w:gridCol w:w="260"/>
        <w:gridCol w:w="560"/>
        <w:gridCol w:w="280"/>
        <w:gridCol w:w="20"/>
        <w:gridCol w:w="960"/>
        <w:gridCol w:w="420"/>
        <w:gridCol w:w="108"/>
        <w:gridCol w:w="312"/>
        <w:gridCol w:w="228"/>
        <w:gridCol w:w="1352"/>
        <w:gridCol w:w="540"/>
      </w:tblGrid>
      <w:tr w14:paraId="5259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BFE3F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ОТЧЁТ</w:t>
            </w:r>
          </w:p>
          <w:p w14:paraId="1264D56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выполнении плана (программы)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финансово-хозяйственной деятельности</w:t>
            </w:r>
          </w:p>
          <w:p w14:paraId="4FD31C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AE95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720" w:type="dxa"/>
            <w:gridSpan w:val="2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022743B">
            <w:pPr>
              <w:ind w:firstLine="708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712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66E4C2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(наименование муниципального унитарного предприятия)</w:t>
            </w:r>
          </w:p>
        </w:tc>
      </w:tr>
      <w:tr w14:paraId="3505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9675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6ADCA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6BF441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3A346C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53C30FC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CD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68FBD">
            <w:pPr>
              <w:jc w:val="both"/>
              <w:rPr>
                <w:sz w:val="24"/>
                <w:szCs w:val="24"/>
              </w:rPr>
            </w:pPr>
          </w:p>
        </w:tc>
      </w:tr>
      <w:tr w14:paraId="0C65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E1E55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1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3BA70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(отчётный период)</w:t>
            </w:r>
          </w:p>
        </w:tc>
        <w:tc>
          <w:tcPr>
            <w:tcW w:w="2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B05D19">
            <w:pPr>
              <w:jc w:val="both"/>
              <w:rPr>
                <w:sz w:val="24"/>
                <w:szCs w:val="24"/>
              </w:rPr>
            </w:pPr>
          </w:p>
        </w:tc>
      </w:tr>
      <w:tr w14:paraId="51A8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EB86D3B">
            <w:pPr>
              <w:rPr>
                <w:sz w:val="24"/>
                <w:szCs w:val="24"/>
              </w:rPr>
            </w:pPr>
          </w:p>
        </w:tc>
      </w:tr>
      <w:tr w14:paraId="03C8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407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39C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показатели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1DE88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0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87FC9">
            <w:pPr>
              <w:ind w:left="-68" w:right="-1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</w:tc>
        <w:tc>
          <w:tcPr>
            <w:tcW w:w="21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D9D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3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3884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Динамика изменения фактического значения показателя в отчётном периоде</w:t>
            </w:r>
          </w:p>
        </w:tc>
      </w:tr>
      <w:tr w14:paraId="6B7E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184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44C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A8D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D7DC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20D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аналогич-ный период прошлого года</w:t>
            </w:r>
          </w:p>
        </w:tc>
        <w:tc>
          <w:tcPr>
            <w:tcW w:w="112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ACF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отчёт-ный период</w:t>
            </w:r>
          </w:p>
        </w:tc>
        <w:tc>
          <w:tcPr>
            <w:tcW w:w="20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32F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отношению к аналогичному периоду прошлого года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D199F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отношению к плановому периоду</w:t>
            </w:r>
          </w:p>
        </w:tc>
      </w:tr>
      <w:tr w14:paraId="6D39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6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B86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B00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FDE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B1A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18C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B04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A1576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абсолютном выражении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536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%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259E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абсолютном выражении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34C3B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 %</w:t>
            </w:r>
          </w:p>
        </w:tc>
      </w:tr>
      <w:tr w14:paraId="0DC7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8AF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79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9C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CEC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660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96E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A81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582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0D4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64D61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14:paraId="5701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A08A6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D61ED">
            <w:pPr>
              <w:spacing w:line="240" w:lineRule="atLeast"/>
              <w:ind w:left="-108" w:right="-60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Выручка от реализации товаров (работ, услуг, всего, в тыс. руб. , в том числе:</w:t>
            </w:r>
          </w:p>
          <w:p w14:paraId="080FB8F9">
            <w:pPr>
              <w:spacing w:line="240" w:lineRule="atLeast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а) от основного вида деятельности;</w:t>
            </w:r>
          </w:p>
          <w:p w14:paraId="10049DD3">
            <w:pPr>
              <w:spacing w:line="240" w:lineRule="atLeast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б) от неосновного вида деятельности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C7F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46C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966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9E7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92A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4FC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B2D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038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172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979C6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293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Прибыль (убыток) до налогообложения, тыс.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91D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B1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7AA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4FB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7CA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4CC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C9A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0376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92B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20512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811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Чистая прибыль (убыток), тыс.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3726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067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E3F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FD2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A92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762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32F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948DE0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88C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CEEFB">
            <w:pPr>
              <w:ind w:left="-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026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Расходы, связанные с реализацией товаров (работ, услуг), всего тыс.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782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FB2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D7C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BDD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993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982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629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8E935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A01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A914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F833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Рентабельность, %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4D2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73C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93B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07F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CB84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FD5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1E4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1F8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5554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FF94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473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Фонд оплаты труда работников, всего, тыс.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B70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186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48F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1F76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5BB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153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59A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4A4F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B9B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A9C9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144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Среднестатистическая численность                                                   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2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68B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465C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D5E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CA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94E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591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909FD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F5D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DF0E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BA7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Среднемесячная заработная плата одного работника,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E5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1D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0A9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7F1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4CC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B03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BA4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CACD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E1E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B9B2D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232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Дебиторская задолженность на конец отчетного периода, всего тыс. руб.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AAB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BAA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61E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EEB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C4B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C4D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0F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94F95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617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B73A1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4C381">
            <w:pPr>
              <w:ind w:right="-1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Кредиторская задолженность на конец отчетного периода, всего, тыс. руб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513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51A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6E8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9414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B5A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FF1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160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610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EA5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4AA9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7F90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84A47B">
            <w:pPr>
              <w:ind w:left="19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E01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FDA110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A11F2D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F41B94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0D882">
            <w:pPr>
              <w:rPr>
                <w:sz w:val="28"/>
                <w:szCs w:val="28"/>
              </w:rPr>
            </w:pPr>
          </w:p>
        </w:tc>
        <w:tc>
          <w:tcPr>
            <w:tcW w:w="29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16AD0D">
            <w:pPr>
              <w:rPr>
                <w:sz w:val="28"/>
                <w:szCs w:val="28"/>
              </w:rPr>
            </w:pPr>
          </w:p>
        </w:tc>
      </w:tr>
      <w:tr w14:paraId="447A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8F1004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(Руководитель предприятия)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D656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2778B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(подпись)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984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3CEF52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(расшифровка подписи)</w:t>
            </w:r>
          </w:p>
        </w:tc>
      </w:tr>
      <w:tr w14:paraId="0A46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99A1787">
            <w:pPr>
              <w:rPr>
                <w:sz w:val="28"/>
                <w:szCs w:val="28"/>
              </w:rPr>
            </w:pPr>
          </w:p>
        </w:tc>
      </w:tr>
    </w:tbl>
    <w:p w14:paraId="2184D936">
      <w:pPr>
        <w:spacing w:after="0" w:line="240" w:lineRule="auto"/>
        <w:jc w:val="both"/>
      </w:pPr>
    </w:p>
    <w:sectPr>
      <w:pgSz w:w="11906" w:h="16838"/>
      <w:pgMar w:top="720" w:right="851" w:bottom="902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40"/>
    <w:rsid w:val="00006F98"/>
    <w:rsid w:val="000120C6"/>
    <w:rsid w:val="000218BA"/>
    <w:rsid w:val="00040333"/>
    <w:rsid w:val="00047C19"/>
    <w:rsid w:val="00054AF8"/>
    <w:rsid w:val="000553B6"/>
    <w:rsid w:val="00063919"/>
    <w:rsid w:val="000A170C"/>
    <w:rsid w:val="000A4CDC"/>
    <w:rsid w:val="000C1E8F"/>
    <w:rsid w:val="000D39BF"/>
    <w:rsid w:val="000E1EA1"/>
    <w:rsid w:val="000F6E0D"/>
    <w:rsid w:val="00112CC3"/>
    <w:rsid w:val="0011433A"/>
    <w:rsid w:val="001251E6"/>
    <w:rsid w:val="00131052"/>
    <w:rsid w:val="00146F88"/>
    <w:rsid w:val="00152161"/>
    <w:rsid w:val="001619CF"/>
    <w:rsid w:val="0016548C"/>
    <w:rsid w:val="00167851"/>
    <w:rsid w:val="0017573A"/>
    <w:rsid w:val="00192D47"/>
    <w:rsid w:val="00195A97"/>
    <w:rsid w:val="001A22F4"/>
    <w:rsid w:val="001B19F6"/>
    <w:rsid w:val="001C1FDF"/>
    <w:rsid w:val="001C655E"/>
    <w:rsid w:val="001C68F8"/>
    <w:rsid w:val="001C72BB"/>
    <w:rsid w:val="001C7935"/>
    <w:rsid w:val="001E059A"/>
    <w:rsid w:val="001E0F32"/>
    <w:rsid w:val="001E1EE2"/>
    <w:rsid w:val="002064C0"/>
    <w:rsid w:val="002209F5"/>
    <w:rsid w:val="00253C59"/>
    <w:rsid w:val="00253E6C"/>
    <w:rsid w:val="00260C76"/>
    <w:rsid w:val="00262C76"/>
    <w:rsid w:val="0027105C"/>
    <w:rsid w:val="00284F8E"/>
    <w:rsid w:val="002958E8"/>
    <w:rsid w:val="00296EF5"/>
    <w:rsid w:val="002B29EC"/>
    <w:rsid w:val="002C5DE4"/>
    <w:rsid w:val="002D475C"/>
    <w:rsid w:val="002F6E28"/>
    <w:rsid w:val="00317A4F"/>
    <w:rsid w:val="00331609"/>
    <w:rsid w:val="00337F7D"/>
    <w:rsid w:val="00356135"/>
    <w:rsid w:val="00372109"/>
    <w:rsid w:val="00377DF5"/>
    <w:rsid w:val="00382635"/>
    <w:rsid w:val="0039048D"/>
    <w:rsid w:val="003B3A00"/>
    <w:rsid w:val="003C1328"/>
    <w:rsid w:val="003D5591"/>
    <w:rsid w:val="003D6881"/>
    <w:rsid w:val="003E2794"/>
    <w:rsid w:val="004114D2"/>
    <w:rsid w:val="004160BF"/>
    <w:rsid w:val="00427051"/>
    <w:rsid w:val="00440389"/>
    <w:rsid w:val="00451B5D"/>
    <w:rsid w:val="00473344"/>
    <w:rsid w:val="004856A5"/>
    <w:rsid w:val="00491F28"/>
    <w:rsid w:val="00496A31"/>
    <w:rsid w:val="004A6D93"/>
    <w:rsid w:val="004A7AAB"/>
    <w:rsid w:val="004B2D12"/>
    <w:rsid w:val="004C5927"/>
    <w:rsid w:val="004C7BF8"/>
    <w:rsid w:val="004D0EB3"/>
    <w:rsid w:val="004E1B94"/>
    <w:rsid w:val="004F00A6"/>
    <w:rsid w:val="004F4793"/>
    <w:rsid w:val="004F6E57"/>
    <w:rsid w:val="00500B62"/>
    <w:rsid w:val="00503D1F"/>
    <w:rsid w:val="00512E45"/>
    <w:rsid w:val="005339EF"/>
    <w:rsid w:val="0053764F"/>
    <w:rsid w:val="005574BD"/>
    <w:rsid w:val="005638A9"/>
    <w:rsid w:val="00566199"/>
    <w:rsid w:val="005669F5"/>
    <w:rsid w:val="0056766D"/>
    <w:rsid w:val="00580E5B"/>
    <w:rsid w:val="00580EC9"/>
    <w:rsid w:val="005847A2"/>
    <w:rsid w:val="00596EDF"/>
    <w:rsid w:val="0059751E"/>
    <w:rsid w:val="005B4497"/>
    <w:rsid w:val="005E2CE2"/>
    <w:rsid w:val="005E4D6A"/>
    <w:rsid w:val="005F2F8E"/>
    <w:rsid w:val="005F53CB"/>
    <w:rsid w:val="006049D6"/>
    <w:rsid w:val="00615BA7"/>
    <w:rsid w:val="0061671D"/>
    <w:rsid w:val="00627A68"/>
    <w:rsid w:val="00643E32"/>
    <w:rsid w:val="006449C3"/>
    <w:rsid w:val="00665657"/>
    <w:rsid w:val="00675C77"/>
    <w:rsid w:val="00677FB7"/>
    <w:rsid w:val="00680D5B"/>
    <w:rsid w:val="00686B9C"/>
    <w:rsid w:val="0068737E"/>
    <w:rsid w:val="006B5FF6"/>
    <w:rsid w:val="006C365C"/>
    <w:rsid w:val="006C502A"/>
    <w:rsid w:val="006E55BB"/>
    <w:rsid w:val="006F2169"/>
    <w:rsid w:val="006F5CBD"/>
    <w:rsid w:val="00704535"/>
    <w:rsid w:val="00723B7D"/>
    <w:rsid w:val="00762DAF"/>
    <w:rsid w:val="007842BA"/>
    <w:rsid w:val="00790BFA"/>
    <w:rsid w:val="007A24E5"/>
    <w:rsid w:val="007A5FC6"/>
    <w:rsid w:val="007B3C68"/>
    <w:rsid w:val="007B6226"/>
    <w:rsid w:val="007B7165"/>
    <w:rsid w:val="007C527A"/>
    <w:rsid w:val="007E0FEB"/>
    <w:rsid w:val="00801493"/>
    <w:rsid w:val="008132B1"/>
    <w:rsid w:val="00817FE1"/>
    <w:rsid w:val="00824004"/>
    <w:rsid w:val="0082550F"/>
    <w:rsid w:val="008368E4"/>
    <w:rsid w:val="00844FFB"/>
    <w:rsid w:val="00870FC7"/>
    <w:rsid w:val="00872628"/>
    <w:rsid w:val="00872EC1"/>
    <w:rsid w:val="0088005A"/>
    <w:rsid w:val="00890460"/>
    <w:rsid w:val="00892FC4"/>
    <w:rsid w:val="008B7CF6"/>
    <w:rsid w:val="008C0F71"/>
    <w:rsid w:val="008C1E4C"/>
    <w:rsid w:val="008C76AA"/>
    <w:rsid w:val="008E12A8"/>
    <w:rsid w:val="00912144"/>
    <w:rsid w:val="0091369C"/>
    <w:rsid w:val="00934017"/>
    <w:rsid w:val="00943B25"/>
    <w:rsid w:val="00944878"/>
    <w:rsid w:val="009554A2"/>
    <w:rsid w:val="00961432"/>
    <w:rsid w:val="00964EA3"/>
    <w:rsid w:val="009660AC"/>
    <w:rsid w:val="00981540"/>
    <w:rsid w:val="009B17C3"/>
    <w:rsid w:val="009E48E4"/>
    <w:rsid w:val="009F6EDD"/>
    <w:rsid w:val="00A22377"/>
    <w:rsid w:val="00A34E2C"/>
    <w:rsid w:val="00A5065E"/>
    <w:rsid w:val="00A82D33"/>
    <w:rsid w:val="00A971C2"/>
    <w:rsid w:val="00AE1FBB"/>
    <w:rsid w:val="00AF185B"/>
    <w:rsid w:val="00AF4834"/>
    <w:rsid w:val="00B109AC"/>
    <w:rsid w:val="00B3104E"/>
    <w:rsid w:val="00B41EB7"/>
    <w:rsid w:val="00B4298D"/>
    <w:rsid w:val="00B50795"/>
    <w:rsid w:val="00B64732"/>
    <w:rsid w:val="00B65C40"/>
    <w:rsid w:val="00BB5E6E"/>
    <w:rsid w:val="00BC3F0F"/>
    <w:rsid w:val="00BE1468"/>
    <w:rsid w:val="00BE7E27"/>
    <w:rsid w:val="00BF184E"/>
    <w:rsid w:val="00C171AE"/>
    <w:rsid w:val="00C2012B"/>
    <w:rsid w:val="00C26763"/>
    <w:rsid w:val="00C26981"/>
    <w:rsid w:val="00C34822"/>
    <w:rsid w:val="00C404AA"/>
    <w:rsid w:val="00C47A4D"/>
    <w:rsid w:val="00C515AA"/>
    <w:rsid w:val="00C80C23"/>
    <w:rsid w:val="00C843BA"/>
    <w:rsid w:val="00C85351"/>
    <w:rsid w:val="00C86BF2"/>
    <w:rsid w:val="00CA4F07"/>
    <w:rsid w:val="00CC6A24"/>
    <w:rsid w:val="00CD0354"/>
    <w:rsid w:val="00CD36A4"/>
    <w:rsid w:val="00CF521E"/>
    <w:rsid w:val="00CF7B59"/>
    <w:rsid w:val="00D05EF1"/>
    <w:rsid w:val="00D07231"/>
    <w:rsid w:val="00D11423"/>
    <w:rsid w:val="00D21BCC"/>
    <w:rsid w:val="00D342AB"/>
    <w:rsid w:val="00D55E97"/>
    <w:rsid w:val="00D600E4"/>
    <w:rsid w:val="00D80572"/>
    <w:rsid w:val="00D90568"/>
    <w:rsid w:val="00DA604F"/>
    <w:rsid w:val="00DA6B94"/>
    <w:rsid w:val="00DB4420"/>
    <w:rsid w:val="00DC3F47"/>
    <w:rsid w:val="00DD1BE1"/>
    <w:rsid w:val="00DE1F41"/>
    <w:rsid w:val="00DE35B8"/>
    <w:rsid w:val="00DE5EF2"/>
    <w:rsid w:val="00E12B00"/>
    <w:rsid w:val="00E166CB"/>
    <w:rsid w:val="00E503EE"/>
    <w:rsid w:val="00E60243"/>
    <w:rsid w:val="00E62BAA"/>
    <w:rsid w:val="00E72352"/>
    <w:rsid w:val="00E76B27"/>
    <w:rsid w:val="00E807D1"/>
    <w:rsid w:val="00E86EAA"/>
    <w:rsid w:val="00E9714E"/>
    <w:rsid w:val="00EB2211"/>
    <w:rsid w:val="00EB4D5D"/>
    <w:rsid w:val="00EB5917"/>
    <w:rsid w:val="00ED0585"/>
    <w:rsid w:val="00EF1591"/>
    <w:rsid w:val="00EF16A8"/>
    <w:rsid w:val="00EF2E17"/>
    <w:rsid w:val="00F004C1"/>
    <w:rsid w:val="00F0251E"/>
    <w:rsid w:val="00F16660"/>
    <w:rsid w:val="00F3269E"/>
    <w:rsid w:val="00F40AB6"/>
    <w:rsid w:val="00F655EC"/>
    <w:rsid w:val="00F722FE"/>
    <w:rsid w:val="00F83F3D"/>
    <w:rsid w:val="00F85FEA"/>
    <w:rsid w:val="00F90BE6"/>
    <w:rsid w:val="00FB1B30"/>
    <w:rsid w:val="00FC57A2"/>
    <w:rsid w:val="00FE226F"/>
    <w:rsid w:val="00FE43FB"/>
    <w:rsid w:val="1FF6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iPriority w:val="99"/>
    <w:rPr>
      <w:rFonts w:cs="Times New Roman"/>
      <w:color w:val="0000FF"/>
      <w:u w:val="single"/>
    </w:rPr>
  </w:style>
  <w:style w:type="paragraph" w:styleId="6">
    <w:name w:val="Balloon Text"/>
    <w:basedOn w:val="1"/>
    <w:link w:val="12"/>
    <w:semiHidden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3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8"/>
    <w:qFormat/>
    <w:uiPriority w:val="99"/>
    <w:pPr>
      <w:widowControl w:val="0"/>
      <w:shd w:val="clear" w:color="auto" w:fill="FFFFFF"/>
      <w:spacing w:before="60" w:after="420" w:line="240" w:lineRule="atLeast"/>
      <w:jc w:val="center"/>
    </w:pPr>
    <w:rPr>
      <w:sz w:val="26"/>
      <w:szCs w:val="20"/>
      <w:lang w:eastAsia="ja-JP"/>
    </w:rPr>
  </w:style>
  <w:style w:type="paragraph" w:styleId="9">
    <w:name w:val="footer"/>
    <w:basedOn w:val="1"/>
    <w:link w:val="14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locked/>
    <w:uiPriority w:val="99"/>
    <w:rPr>
      <w:rFonts w:ascii="Segoe UI" w:hAnsi="Segoe UI" w:cs="Segoe UI"/>
      <w:sz w:val="18"/>
      <w:szCs w:val="18"/>
    </w:rPr>
  </w:style>
  <w:style w:type="character" w:customStyle="1" w:styleId="13">
    <w:name w:val="Верхний колонтитул Знак"/>
    <w:basedOn w:val="2"/>
    <w:link w:val="7"/>
    <w:qFormat/>
    <w:locked/>
    <w:uiPriority w:val="99"/>
    <w:rPr>
      <w:rFonts w:cs="Times New Roman"/>
    </w:rPr>
  </w:style>
  <w:style w:type="character" w:customStyle="1" w:styleId="14">
    <w:name w:val="Нижний колонтитул Знак"/>
    <w:basedOn w:val="2"/>
    <w:link w:val="9"/>
    <w:qFormat/>
    <w:locked/>
    <w:uiPriority w:val="99"/>
    <w:rPr>
      <w:rFonts w:cs="Times New Roman"/>
    </w:rPr>
  </w:style>
  <w:style w:type="paragraph" w:customStyle="1" w:styleId="15">
    <w:name w:val="unformattext topleveltex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MS Mincho"/>
      <w:sz w:val="24"/>
      <w:szCs w:val="24"/>
      <w:lang w:eastAsia="ja-JP"/>
    </w:rPr>
  </w:style>
  <w:style w:type="paragraph" w:customStyle="1" w:styleId="16">
    <w:name w:val="formattex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MS Mincho"/>
      <w:sz w:val="24"/>
      <w:szCs w:val="24"/>
      <w:lang w:eastAsia="ja-JP"/>
    </w:rPr>
  </w:style>
  <w:style w:type="character" w:customStyle="1" w:styleId="17">
    <w:name w:val="Body Text Char1"/>
    <w:qFormat/>
    <w:locked/>
    <w:uiPriority w:val="99"/>
    <w:rPr>
      <w:sz w:val="26"/>
    </w:rPr>
  </w:style>
  <w:style w:type="character" w:customStyle="1" w:styleId="18">
    <w:name w:val="Основной текст Знак"/>
    <w:basedOn w:val="2"/>
    <w:link w:val="8"/>
    <w:semiHidden/>
    <w:qFormat/>
    <w:locked/>
    <w:uiPriority w:val="99"/>
    <w:rPr>
      <w:rFonts w:cs="Times New Roman"/>
      <w:lang w:eastAsia="en-US"/>
    </w:rPr>
  </w:style>
  <w:style w:type="character" w:customStyle="1" w:styleId="19">
    <w:name w:val="Цветовое выделение"/>
    <w:qFormat/>
    <w:uiPriority w:val="99"/>
    <w:rPr>
      <w:b/>
      <w:color w:val="000080"/>
    </w:rPr>
  </w:style>
  <w:style w:type="paragraph" w:customStyle="1" w:styleId="20">
    <w:name w:val="text1cl"/>
    <w:basedOn w:val="1"/>
    <w:qFormat/>
    <w:uiPriority w:val="0"/>
    <w:pPr>
      <w:spacing w:before="144" w:after="288" w:line="240" w:lineRule="auto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1226</Words>
  <Characters>8346</Characters>
  <Lines>74</Lines>
  <Paragraphs>21</Paragraphs>
  <TotalTime>11</TotalTime>
  <ScaleCrop>false</ScaleCrop>
  <LinksUpToDate>false</LinksUpToDate>
  <CharactersWithSpaces>9832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2026-07-03T12:09:00Z</dcterms:created>
  <dc:creator>zhilin</dc:creator>
  <cp:lastModifiedBy>WPS_1782226786</cp:lastModifiedBy>
  <cp:lastPrinted>2026-07-08T11:14:00Z</cp:lastPrinted>
  <dcterms:modified xsi:type="dcterms:W3CDTF">2026-08-14T12:06:48Z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B860386AEB84446BBC1B867F16F6A697_13</vt:lpwstr>
  </property>
</Properties>
</file>