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8011B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E8011B" w:rsidRPr="00A21306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11 » октября 2023 года </w:t>
      </w:r>
      <w:r w:rsidRPr="00A21306">
        <w:rPr>
          <w:b/>
          <w:color w:val="0000FF"/>
        </w:rPr>
        <w:t xml:space="preserve">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310</w:t>
      </w:r>
    </w:p>
    <w:p w:rsidR="00E75A1B" w:rsidRPr="00E8011B" w:rsidRDefault="00E8011B" w:rsidP="00E8011B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E75A1B" w:rsidRDefault="00E75A1B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</w:t>
      </w:r>
      <w:r w:rsidR="00F0531B">
        <w:rPr>
          <w:sz w:val="28"/>
          <w:szCs w:val="28"/>
        </w:rPr>
        <w:lastRenderedPageBreak/>
        <w:t xml:space="preserve">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8173D2">
        <w:rPr>
          <w:sz w:val="28"/>
          <w:szCs w:val="28"/>
        </w:rPr>
        <w:t>А.С.Борисенко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8173D2">
        <w:rPr>
          <w:sz w:val="28"/>
          <w:szCs w:val="28"/>
        </w:rPr>
        <w:t>возложить на заместителя главы администрации Знаменского района Орловской области  А.А. Басова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1" w:rsidRPr="00D605DC" w:rsidRDefault="00777CD0" w:rsidP="009B1845">
      <w:pPr>
        <w:ind w:firstLine="708"/>
        <w:jc w:val="both"/>
        <w:rPr>
          <w:sz w:val="28"/>
          <w:szCs w:val="28"/>
        </w:rPr>
      </w:pPr>
      <w:r w:rsidRPr="00777CD0">
        <w:rPr>
          <w:sz w:val="28"/>
          <w:szCs w:val="28"/>
        </w:rPr>
        <w:t>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2A49"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С</w:t>
      </w:r>
      <w:r w:rsidR="007B43A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B43A0">
        <w:rPr>
          <w:sz w:val="28"/>
          <w:szCs w:val="28"/>
        </w:rPr>
        <w:t xml:space="preserve">. </w:t>
      </w:r>
      <w:r>
        <w:rPr>
          <w:sz w:val="28"/>
          <w:szCs w:val="28"/>
        </w:rPr>
        <w:t>Семочкин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260570" w:rsidRDefault="00260570" w:rsidP="00260570">
      <w:pPr>
        <w:rPr>
          <w:sz w:val="28"/>
        </w:rPr>
        <w:sectPr w:rsidR="00260570" w:rsidSect="00E729C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r w:rsidR="009241A7">
        <w:t>от</w:t>
      </w:r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FC7B5D">
              <w:rPr>
                <w:color w:val="000000"/>
                <w:sz w:val="19"/>
                <w:szCs w:val="19"/>
                <w:lang w:eastAsia="ru-RU"/>
              </w:rPr>
              <w:t>0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41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color w:val="000000"/>
                <w:sz w:val="19"/>
                <w:szCs w:val="19"/>
                <w:lang w:eastAsia="ru-RU"/>
              </w:rPr>
              <w:t>3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452,76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154,44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964FE"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7B5D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744627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  <w:r w:rsidR="00F964FE"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452,76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154,44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448,76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153,44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1,76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230C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3D01"/>
    <w:rsid w:val="004668A1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11CF4"/>
    <w:rsid w:val="0062519E"/>
    <w:rsid w:val="00627D71"/>
    <w:rsid w:val="00655ECA"/>
    <w:rsid w:val="006567AF"/>
    <w:rsid w:val="006801E5"/>
    <w:rsid w:val="00685313"/>
    <w:rsid w:val="0068723A"/>
    <w:rsid w:val="006A7CFE"/>
    <w:rsid w:val="006B3D14"/>
    <w:rsid w:val="006F4B07"/>
    <w:rsid w:val="006F5CE7"/>
    <w:rsid w:val="00714CF1"/>
    <w:rsid w:val="00744627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660"/>
    <w:rsid w:val="00816D42"/>
    <w:rsid w:val="008172C4"/>
    <w:rsid w:val="008173D2"/>
    <w:rsid w:val="00827B22"/>
    <w:rsid w:val="0084503B"/>
    <w:rsid w:val="00881D8E"/>
    <w:rsid w:val="00882EFB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16231"/>
    <w:rsid w:val="00A31A15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50E20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16E9"/>
    <w:rsid w:val="00C16467"/>
    <w:rsid w:val="00C16CAE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E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A8F2-CC5F-4C2D-8749-5036D58C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2023-10-11T12:35:00Z</cp:lastPrinted>
  <dcterms:created xsi:type="dcterms:W3CDTF">2023-11-07T07:56:00Z</dcterms:created>
  <dcterms:modified xsi:type="dcterms:W3CDTF">2023-11-07T07:56:00Z</dcterms:modified>
</cp:coreProperties>
</file>