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ЗНАМЕНСКОГО РАЙОНА</w:t>
      </w: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r>
        <w:rPr>
          <w:rFonts w:ascii="Times New Roman" w:hAnsi="Times New Roman"/>
          <w:sz w:val="28"/>
          <w:szCs w:val="28"/>
          <w:u w:val="single"/>
        </w:rPr>
        <w:t>« 5 » августа 2022 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>336</w:t>
      </w:r>
    </w:p>
    <w:p w:rsidR="00C514E6" w:rsidRPr="00756A28" w:rsidRDefault="00C514E6" w:rsidP="00C514E6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>О внесении изменений  в постановление</w:t>
      </w:r>
    </w:p>
    <w:p w:rsidR="00C514E6" w:rsidRPr="00756A28" w:rsidRDefault="00C514E6" w:rsidP="00C514E6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 xml:space="preserve">Администрации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от 28 декабря 2021</w:t>
      </w:r>
      <w:r w:rsidRPr="00756A2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№459 «Об утверждении </w:t>
      </w:r>
      <w:r w:rsidRPr="00756A28">
        <w:rPr>
          <w:rFonts w:ascii="Times New Roman" w:hAnsi="Times New Roman"/>
          <w:sz w:val="28"/>
          <w:szCs w:val="28"/>
        </w:rPr>
        <w:t>муниципальной программы 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сельского поселения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на 2022-2024</w:t>
      </w:r>
      <w:r w:rsidRPr="00756A28">
        <w:rPr>
          <w:rFonts w:ascii="Times New Roman" w:hAnsi="Times New Roman"/>
          <w:sz w:val="28"/>
          <w:szCs w:val="28"/>
        </w:rPr>
        <w:t xml:space="preserve"> годы</w:t>
      </w:r>
      <w:r w:rsidRPr="00756A28">
        <w:rPr>
          <w:rFonts w:ascii="Times New Roman" w:hAnsi="Times New Roman"/>
          <w:bCs/>
          <w:sz w:val="28"/>
          <w:szCs w:val="28"/>
        </w:rPr>
        <w:t>»</w:t>
      </w:r>
    </w:p>
    <w:p w:rsidR="00C514E6" w:rsidRPr="00756A28" w:rsidRDefault="00C514E6" w:rsidP="00C514E6">
      <w:pPr>
        <w:pStyle w:val="a3"/>
        <w:ind w:right="4678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C514E6" w:rsidRPr="00A662F4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2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62F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C514E6" w:rsidRPr="00CF09CB" w:rsidRDefault="00C514E6" w:rsidP="00C514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09CB">
        <w:rPr>
          <w:rFonts w:ascii="Times New Roman" w:hAnsi="Times New Roman"/>
          <w:sz w:val="28"/>
          <w:szCs w:val="28"/>
        </w:rPr>
        <w:t>ПОСТАНОВЛЯЕТ:</w:t>
      </w:r>
    </w:p>
    <w:p w:rsidR="00C514E6" w:rsidRPr="00CF09CB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09CB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CF09CB">
        <w:rPr>
          <w:rFonts w:ascii="Times New Roman" w:hAnsi="Times New Roman"/>
          <w:sz w:val="28"/>
          <w:szCs w:val="28"/>
        </w:rPr>
        <w:t>Внести изменения в постановление Администрации Знаменского района Орловской области от 28 декабря 2021 года №459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2022-2024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C514E6" w:rsidRPr="00756A28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ab/>
        <w:t>2.Настоящее постановление разместить на официальном сайте Администрации Знаменского района Орловской области в сети Интернет.</w:t>
      </w:r>
    </w:p>
    <w:p w:rsidR="00C514E6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6A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6A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A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14E6" w:rsidRPr="00756A28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4E6" w:rsidRPr="00756A28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                  С.В. Семочкин </w:t>
      </w:r>
    </w:p>
    <w:p w:rsidR="00C514E6" w:rsidRPr="00CD53F7" w:rsidRDefault="00C514E6" w:rsidP="00C514E6">
      <w:pPr>
        <w:pStyle w:val="a3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4E6" w:rsidRDefault="00C514E6" w:rsidP="00C514E6">
      <w:pPr>
        <w:pStyle w:val="a3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pStyle w:val="a3"/>
        <w:rPr>
          <w:rFonts w:ascii="Times New Roman" w:hAnsi="Times New Roman"/>
          <w:sz w:val="28"/>
          <w:szCs w:val="28"/>
        </w:rPr>
      </w:pPr>
    </w:p>
    <w:p w:rsidR="00C514E6" w:rsidRPr="00432DF1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Приложение </w:t>
      </w:r>
    </w:p>
    <w:p w:rsidR="00C514E6" w:rsidRPr="00432DF1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C514E6" w:rsidRPr="00432DF1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2DF1">
        <w:rPr>
          <w:rFonts w:ascii="Times New Roman" w:hAnsi="Times New Roman"/>
          <w:sz w:val="28"/>
          <w:szCs w:val="28"/>
        </w:rPr>
        <w:t xml:space="preserve">  Знаменского района Орловской области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«5» августа 2022 года  №336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C514E6" w:rsidRPr="00432DF1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к постановлению  Администрации               </w:t>
      </w:r>
    </w:p>
    <w:p w:rsidR="00C514E6" w:rsidRPr="00432DF1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2DF1">
        <w:rPr>
          <w:rFonts w:ascii="Times New Roman" w:hAnsi="Times New Roman"/>
          <w:sz w:val="28"/>
          <w:szCs w:val="28"/>
        </w:rPr>
        <w:t xml:space="preserve">  Знаменского района Орловской области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июля  2022 года  №295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14E6" w:rsidRPr="006A20C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C514E6" w:rsidRPr="006A20C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C514E6" w:rsidRPr="006A20C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 2021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№459</w:t>
      </w:r>
    </w:p>
    <w:p w:rsidR="00C514E6" w:rsidRDefault="00C514E6" w:rsidP="00C514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14E6" w:rsidRDefault="00C514E6" w:rsidP="00C51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432DF1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C514E6" w:rsidRPr="00432DF1" w:rsidRDefault="00C514E6" w:rsidP="00C514E6">
      <w:pPr>
        <w:rPr>
          <w:rFonts w:ascii="Times New Roman" w:hAnsi="Times New Roman" w:cs="Times New Roman"/>
          <w:b/>
          <w:sz w:val="28"/>
          <w:szCs w:val="28"/>
        </w:rPr>
      </w:pPr>
    </w:p>
    <w:p w:rsidR="00C514E6" w:rsidRPr="00432DF1" w:rsidRDefault="00C514E6" w:rsidP="00C514E6">
      <w:pPr>
        <w:jc w:val="both"/>
        <w:rPr>
          <w:rFonts w:ascii="Times New Roman" w:hAnsi="Times New Roman" w:cs="Times New Roman"/>
          <w:sz w:val="28"/>
          <w:szCs w:val="28"/>
        </w:rPr>
      </w:pPr>
      <w:r w:rsidRPr="00432DF1"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7"/>
        <w:gridCol w:w="2759"/>
        <w:gridCol w:w="53"/>
        <w:gridCol w:w="2130"/>
        <w:gridCol w:w="71"/>
        <w:gridCol w:w="1270"/>
        <w:gridCol w:w="31"/>
        <w:gridCol w:w="1157"/>
        <w:gridCol w:w="21"/>
        <w:gridCol w:w="1339"/>
      </w:tblGrid>
      <w:tr w:rsidR="00C514E6" w:rsidRPr="00484E2A" w:rsidTr="001E600E">
        <w:trPr>
          <w:trHeight w:val="375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4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84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C514E6" w:rsidRPr="00484E2A" w:rsidTr="001E600E">
        <w:trPr>
          <w:trHeight w:val="309"/>
        </w:trPr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514E6" w:rsidRPr="00484E2A" w:rsidTr="001E600E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1.«Организация уличного освещения Знаменского сельского поселения»</w:t>
            </w:r>
          </w:p>
        </w:tc>
      </w:tr>
      <w:tr w:rsidR="00C514E6" w:rsidRPr="00484E2A" w:rsidTr="001E600E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Расходы на уличное освещение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514E6" w:rsidRPr="00484E2A" w:rsidTr="001E600E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и монтаж (демонтаж), замена осветительных приборов</w:t>
            </w:r>
            <w:r>
              <w:rPr>
                <w:rFonts w:ascii="Times New Roman" w:hAnsi="Times New Roman"/>
                <w:sz w:val="28"/>
                <w:szCs w:val="28"/>
              </w:rPr>
              <w:t>, техническое обслуживание электрических сетей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C514E6" w:rsidRPr="00484E2A" w:rsidTr="001E600E">
        <w:trPr>
          <w:trHeight w:val="107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(счетчиков, провода, ламп ДРЛ и т.д.).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C514E6" w:rsidRPr="00484E2A" w:rsidTr="001E600E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 xml:space="preserve">2. «Благоустройство центрального парка </w:t>
            </w:r>
            <w:proofErr w:type="gramStart"/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. Знаменское, Знаменского сельского поселения»</w:t>
            </w:r>
          </w:p>
        </w:tc>
      </w:tr>
      <w:tr w:rsidR="00C514E6" w:rsidRPr="00484E2A" w:rsidTr="001E600E">
        <w:trPr>
          <w:trHeight w:val="75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прочих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E6" w:rsidRPr="00484E2A" w:rsidTr="001E600E"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центрального парка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4E6" w:rsidRPr="00484E2A" w:rsidTr="001E600E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C514E6" w:rsidRPr="00484E2A" w:rsidTr="001E600E">
        <w:trPr>
          <w:trHeight w:val="151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14E6" w:rsidRPr="00484E2A" w:rsidTr="001E600E">
        <w:trPr>
          <w:trHeight w:val="27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4. «Благоустройство колодцев и святых источников»</w:t>
            </w:r>
          </w:p>
        </w:tc>
      </w:tr>
      <w:tr w:rsidR="00C514E6" w:rsidRPr="00484E2A" w:rsidTr="001E600E">
        <w:trPr>
          <w:trHeight w:val="22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Услуги по чистке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колодцев</w:t>
            </w:r>
            <w:r>
              <w:rPr>
                <w:rFonts w:ascii="Times New Roman" w:hAnsi="Times New Roman"/>
                <w:sz w:val="28"/>
                <w:szCs w:val="28"/>
              </w:rPr>
              <w:t>, святых источников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14E6" w:rsidRPr="00484E2A" w:rsidTr="001E600E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 xml:space="preserve">     5. «Проведение работ по уничтожению борщевика на территории поселения»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4E6" w:rsidRPr="00484E2A" w:rsidTr="001E600E">
        <w:trPr>
          <w:trHeight w:val="67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Проведение работ по уничтожению борщевика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C514E6" w:rsidRPr="00484E2A" w:rsidTr="001E600E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6. «Прочие»</w:t>
            </w:r>
          </w:p>
        </w:tc>
      </w:tr>
      <w:tr w:rsidR="00C514E6" w:rsidRPr="00484E2A" w:rsidTr="001E600E">
        <w:trPr>
          <w:trHeight w:val="37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Содержание рабочих по благоустройству (заработная плата)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14E6" w:rsidRPr="00484E2A" w:rsidTr="001E600E">
        <w:trPr>
          <w:trHeight w:val="41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514E6" w:rsidRPr="00484E2A" w:rsidTr="001E600E">
        <w:trPr>
          <w:trHeight w:val="16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основных средств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бензокосы</w:t>
            </w:r>
            <w:proofErr w:type="spellEnd"/>
            <w:r w:rsidRPr="00484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514E6" w:rsidRPr="00484E2A" w:rsidTr="001E600E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площадок для сбора ТКО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4E6" w:rsidRPr="00484E2A" w:rsidTr="001E600E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прочих материалов  </w:t>
            </w:r>
          </w:p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C514E6" w:rsidRPr="00484E2A" w:rsidTr="001E600E">
        <w:trPr>
          <w:trHeight w:val="17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холодное водоснабжение (фонтан и уличная колонка по ул. Кирова)  </w:t>
            </w:r>
          </w:p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514E6" w:rsidRPr="00484E2A" w:rsidTr="001E600E">
        <w:trPr>
          <w:trHeight w:val="821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367,46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514E6" w:rsidRPr="00484E2A" w:rsidTr="001E600E">
        <w:trPr>
          <w:trHeight w:val="761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территорий)</w:t>
            </w:r>
          </w:p>
          <w:p w:rsidR="00C514E6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Pr="00484E2A" w:rsidRDefault="00C514E6" w:rsidP="001E60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514E6" w:rsidRDefault="00C514E6" w:rsidP="001E60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514E6" w:rsidRDefault="00C514E6" w:rsidP="00C514E6">
      <w:pPr>
        <w:pStyle w:val="a3"/>
        <w:rPr>
          <w:rFonts w:ascii="Times New Roman" w:hAnsi="Times New Roman"/>
          <w:sz w:val="28"/>
          <w:szCs w:val="28"/>
        </w:rPr>
      </w:pPr>
    </w:p>
    <w:p w:rsidR="00C514E6" w:rsidRPr="00484E2A" w:rsidRDefault="00C514E6" w:rsidP="00C514E6">
      <w:pPr>
        <w:pStyle w:val="a3"/>
        <w:rPr>
          <w:rFonts w:ascii="Times New Roman" w:hAnsi="Times New Roman"/>
          <w:sz w:val="28"/>
          <w:szCs w:val="28"/>
        </w:rPr>
      </w:pPr>
    </w:p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Default="00C514E6" w:rsidP="00C514E6"/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E202AC">
        <w:rPr>
          <w:rFonts w:ascii="Times New Roman" w:hAnsi="Times New Roman"/>
          <w:sz w:val="28"/>
          <w:szCs w:val="28"/>
        </w:rPr>
        <w:t>В соответствии с п. 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57:02:0000000:44 расположенных по адресу: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</w:t>
      </w:r>
      <w:proofErr w:type="spellStart"/>
      <w:r w:rsidRPr="00E202AC">
        <w:rPr>
          <w:rFonts w:ascii="Times New Roman" w:hAnsi="Times New Roman"/>
          <w:sz w:val="28"/>
          <w:szCs w:val="28"/>
        </w:rPr>
        <w:t>ТнВ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им. Ленина (старое название КСП им. Ленина), о</w:t>
      </w:r>
      <w:r>
        <w:rPr>
          <w:rFonts w:ascii="Times New Roman" w:hAnsi="Times New Roman"/>
          <w:sz w:val="28"/>
          <w:szCs w:val="28"/>
        </w:rPr>
        <w:t xml:space="preserve"> наличии списка</w:t>
      </w:r>
      <w:r w:rsidRPr="00E202AC">
        <w:rPr>
          <w:rFonts w:ascii="Times New Roman" w:hAnsi="Times New Roman"/>
          <w:sz w:val="28"/>
          <w:szCs w:val="28"/>
        </w:rPr>
        <w:t xml:space="preserve"> невостребованных земельных долей с площ</w:t>
      </w:r>
      <w:r>
        <w:rPr>
          <w:rFonts w:ascii="Times New Roman" w:hAnsi="Times New Roman"/>
          <w:sz w:val="28"/>
          <w:szCs w:val="28"/>
        </w:rPr>
        <w:t>адью земельной доли каждого 14,3</w:t>
      </w:r>
      <w:r w:rsidRPr="00E202AC">
        <w:rPr>
          <w:rFonts w:ascii="Times New Roman" w:hAnsi="Times New Roman"/>
          <w:sz w:val="28"/>
          <w:szCs w:val="28"/>
        </w:rPr>
        <w:t xml:space="preserve"> га и проведения общего собрания по следующим вопросам:</w:t>
      </w:r>
    </w:p>
    <w:p w:rsidR="00C514E6" w:rsidRPr="00E202AC" w:rsidRDefault="00C514E6" w:rsidP="00C514E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C514E6" w:rsidRPr="00E202AC" w:rsidRDefault="00C514E6" w:rsidP="00C514E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 xml:space="preserve">Об утверждении списка невостребованных земельных долей  </w:t>
      </w:r>
      <w:proofErr w:type="spellStart"/>
      <w:r w:rsidRPr="00E202AC">
        <w:rPr>
          <w:rFonts w:ascii="Times New Roman" w:hAnsi="Times New Roman"/>
          <w:sz w:val="28"/>
          <w:szCs w:val="28"/>
        </w:rPr>
        <w:t>ТнВ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им. Ленина (старое название КСП им. Ленина).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состоится в 10:30 </w:t>
      </w:r>
      <w:r w:rsidRPr="00E202A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«28»ноября </w:t>
      </w:r>
      <w:r w:rsidRPr="00E202AC">
        <w:rPr>
          <w:rFonts w:ascii="Times New Roman" w:hAnsi="Times New Roman"/>
          <w:sz w:val="28"/>
          <w:szCs w:val="28"/>
        </w:rPr>
        <w:t xml:space="preserve">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 w:rsidRPr="00E202AC">
        <w:rPr>
          <w:rFonts w:ascii="Times New Roman" w:hAnsi="Times New Roman"/>
          <w:sz w:val="28"/>
          <w:szCs w:val="28"/>
        </w:rPr>
        <w:t>с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. Знаменское,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02AC">
        <w:rPr>
          <w:rFonts w:ascii="Times New Roman" w:hAnsi="Times New Roman"/>
          <w:sz w:val="28"/>
          <w:szCs w:val="28"/>
        </w:rPr>
        <w:t>ул. Ленина, д. 39.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02AC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ация участников собрания: с 10:00 часов до 10:15 </w:t>
      </w:r>
      <w:r w:rsidRPr="00E202AC">
        <w:rPr>
          <w:rFonts w:ascii="Times New Roman" w:hAnsi="Times New Roman"/>
          <w:sz w:val="28"/>
          <w:szCs w:val="28"/>
        </w:rPr>
        <w:t>часов.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02AC">
        <w:rPr>
          <w:rFonts w:ascii="Times New Roman" w:hAnsi="Times New Roman"/>
          <w:sz w:val="28"/>
          <w:szCs w:val="28"/>
        </w:rPr>
        <w:t>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02AC">
        <w:rPr>
          <w:rFonts w:ascii="Times New Roman" w:hAnsi="Times New Roman"/>
          <w:sz w:val="28"/>
          <w:szCs w:val="28"/>
        </w:rPr>
        <w:t>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Список </w:t>
      </w:r>
      <w:r w:rsidRPr="00E202AC">
        <w:rPr>
          <w:rFonts w:ascii="Times New Roman" w:hAnsi="Times New Roman"/>
          <w:sz w:val="28"/>
          <w:szCs w:val="28"/>
        </w:rPr>
        <w:t xml:space="preserve"> невостребованных земельных долей: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 xml:space="preserve">Лобанова Нина Ивановна, Беляев Григорий Владимирович, Селиверстов Дмитрий Дмитриевич, Кривошеева Анна Кузьминична, Мельникова Мария Владимировна, Мишин Егор Алексеевич, Петрова Татьяна Дмитриевна, Соколов Михаил Иванович, Мишина Анна Романовна, Морозов Василий Кузьмич, </w:t>
      </w:r>
      <w:proofErr w:type="spellStart"/>
      <w:r w:rsidRPr="00E202AC">
        <w:rPr>
          <w:rFonts w:ascii="Times New Roman" w:hAnsi="Times New Roman"/>
          <w:sz w:val="28"/>
          <w:szCs w:val="28"/>
        </w:rPr>
        <w:t>Наумочкин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Алексей Ильич. </w:t>
      </w:r>
    </w:p>
    <w:p w:rsidR="00C514E6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C514E6" w:rsidRPr="00E461AF" w:rsidRDefault="00C514E6" w:rsidP="00C514E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02AC">
        <w:rPr>
          <w:rFonts w:ascii="Times New Roman" w:hAnsi="Times New Roman"/>
          <w:sz w:val="28"/>
          <w:szCs w:val="28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поселения. По всем вопросам обращаться по адресу: Орловская область, Знаменский район, с. Знаменское, ул. Ленина, д.</w:t>
      </w:r>
      <w:r>
        <w:rPr>
          <w:rFonts w:ascii="Times New Roman" w:hAnsi="Times New Roman"/>
          <w:sz w:val="28"/>
          <w:szCs w:val="28"/>
        </w:rPr>
        <w:t>33 А</w:t>
      </w:r>
      <w:r w:rsidRPr="00E202AC">
        <w:rPr>
          <w:rFonts w:ascii="Times New Roman" w:hAnsi="Times New Roman"/>
          <w:sz w:val="28"/>
          <w:szCs w:val="28"/>
        </w:rPr>
        <w:t>, Администрация Знаменского района (</w:t>
      </w:r>
      <w:r w:rsidRPr="00E202AC">
        <w:rPr>
          <w:rFonts w:ascii="Times New Roman" w:eastAsia="Calibri" w:hAnsi="Times New Roman"/>
          <w:sz w:val="28"/>
          <w:szCs w:val="28"/>
        </w:rPr>
        <w:t>И.о. начальника отдела по управлению муниципальной собственностью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02A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02AC">
        <w:rPr>
          <w:rFonts w:ascii="Times New Roman" w:eastAsia="Calibri" w:hAnsi="Times New Roman"/>
          <w:sz w:val="28"/>
          <w:szCs w:val="28"/>
        </w:rPr>
        <w:t xml:space="preserve">Г.А. </w:t>
      </w:r>
      <w:proofErr w:type="spellStart"/>
      <w:r w:rsidRPr="00E202AC"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 w:rsidRPr="00E202AC">
        <w:rPr>
          <w:rFonts w:ascii="Times New Roman" w:eastAsia="Calibri" w:hAnsi="Times New Roman"/>
          <w:sz w:val="28"/>
          <w:szCs w:val="28"/>
        </w:rPr>
        <w:t>, тел. 8(48662)2-</w:t>
      </w:r>
      <w:r>
        <w:rPr>
          <w:rFonts w:ascii="Times New Roman" w:eastAsia="Calibri" w:hAnsi="Times New Roman"/>
          <w:sz w:val="28"/>
          <w:szCs w:val="28"/>
        </w:rPr>
        <w:t>14-17</w:t>
      </w:r>
      <w:r w:rsidRPr="00E202AC">
        <w:rPr>
          <w:rFonts w:ascii="Times New Roman" w:eastAsia="Calibri" w:hAnsi="Times New Roman"/>
          <w:sz w:val="28"/>
          <w:szCs w:val="28"/>
        </w:rPr>
        <w:t>, Глава Знаменского сельского поселения – В.В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02A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E202AC">
        <w:rPr>
          <w:rFonts w:ascii="Times New Roman" w:eastAsia="Calibri" w:hAnsi="Times New Roman"/>
          <w:sz w:val="28"/>
          <w:szCs w:val="28"/>
        </w:rPr>
        <w:t xml:space="preserve"> Титова тел. 89192603406)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E202AC">
        <w:rPr>
          <w:rFonts w:ascii="Times New Roman" w:hAnsi="Times New Roman"/>
          <w:sz w:val="28"/>
          <w:szCs w:val="28"/>
        </w:rPr>
        <w:t xml:space="preserve">В соответствии с п. </w:t>
      </w:r>
      <w:proofErr w:type="gramStart"/>
      <w:r w:rsidRPr="00E202AC">
        <w:rPr>
          <w:rFonts w:ascii="Times New Roman" w:hAnsi="Times New Roman"/>
          <w:sz w:val="28"/>
          <w:szCs w:val="28"/>
        </w:rPr>
        <w:t>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57:02:0000000:40 расположенных по адресу: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СПК «Русь» (старое название КСП  «Русь»), о</w:t>
      </w:r>
      <w:r>
        <w:rPr>
          <w:rFonts w:ascii="Times New Roman" w:hAnsi="Times New Roman"/>
          <w:sz w:val="28"/>
          <w:szCs w:val="28"/>
        </w:rPr>
        <w:t xml:space="preserve"> наличии списка</w:t>
      </w:r>
      <w:r w:rsidRPr="00E202AC">
        <w:rPr>
          <w:rFonts w:ascii="Times New Roman" w:hAnsi="Times New Roman"/>
          <w:sz w:val="28"/>
          <w:szCs w:val="28"/>
        </w:rPr>
        <w:t xml:space="preserve"> невостребованных земельных долей с площ</w:t>
      </w:r>
      <w:r>
        <w:rPr>
          <w:rFonts w:ascii="Times New Roman" w:hAnsi="Times New Roman"/>
          <w:sz w:val="28"/>
          <w:szCs w:val="28"/>
        </w:rPr>
        <w:t>адью земельной доли каждого 12,8</w:t>
      </w:r>
      <w:r w:rsidRPr="00E202AC">
        <w:rPr>
          <w:rFonts w:ascii="Times New Roman" w:hAnsi="Times New Roman"/>
          <w:sz w:val="28"/>
          <w:szCs w:val="28"/>
        </w:rPr>
        <w:t xml:space="preserve"> га и проведения общего собрания по следующим вопросам:</w:t>
      </w:r>
    </w:p>
    <w:p w:rsidR="00C514E6" w:rsidRPr="00E202AC" w:rsidRDefault="00C514E6" w:rsidP="00C514E6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C514E6" w:rsidRPr="00E202AC" w:rsidRDefault="00C514E6" w:rsidP="00C514E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  СПК «Русь» (старое название КСП «Русь»).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Собрание состоится в 11:30 </w:t>
      </w:r>
      <w:r w:rsidRPr="00E202A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«28</w:t>
      </w:r>
      <w:r w:rsidRPr="00E202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E202AC">
        <w:rPr>
          <w:rFonts w:ascii="Times New Roman" w:hAnsi="Times New Roman"/>
          <w:sz w:val="28"/>
          <w:szCs w:val="28"/>
        </w:rPr>
        <w:t xml:space="preserve">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 w:rsidRPr="00E202AC">
        <w:rPr>
          <w:rFonts w:ascii="Times New Roman" w:hAnsi="Times New Roman"/>
          <w:sz w:val="28"/>
          <w:szCs w:val="28"/>
        </w:rPr>
        <w:t>с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. Знаменское,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202AC">
        <w:rPr>
          <w:rFonts w:ascii="Times New Roman" w:hAnsi="Times New Roman"/>
          <w:sz w:val="28"/>
          <w:szCs w:val="28"/>
        </w:rPr>
        <w:t>ул. Ленина, д. 39.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02AC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ация участников собрания: с 11:00 часов до 11:15 </w:t>
      </w:r>
      <w:r w:rsidRPr="00E202AC">
        <w:rPr>
          <w:rFonts w:ascii="Times New Roman" w:hAnsi="Times New Roman"/>
          <w:sz w:val="28"/>
          <w:szCs w:val="28"/>
        </w:rPr>
        <w:t>часов.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202AC">
        <w:rPr>
          <w:rFonts w:ascii="Times New Roman" w:hAnsi="Times New Roman"/>
          <w:sz w:val="28"/>
          <w:szCs w:val="28"/>
        </w:rPr>
        <w:t>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Список </w:t>
      </w:r>
      <w:r w:rsidRPr="00E202AC">
        <w:rPr>
          <w:rFonts w:ascii="Times New Roman" w:hAnsi="Times New Roman"/>
          <w:sz w:val="28"/>
          <w:szCs w:val="28"/>
        </w:rPr>
        <w:t xml:space="preserve"> невостребованных земельных долей: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2AC">
        <w:rPr>
          <w:rFonts w:ascii="Times New Roman" w:hAnsi="Times New Roman"/>
          <w:sz w:val="28"/>
          <w:szCs w:val="28"/>
        </w:rPr>
        <w:t xml:space="preserve">Зорин Александр Александрович, Лобанов Михаил Степанович, Пронина Прасковья Максимовна, Корнеева Нина Ивановна, Мельникова Анна Семеновна, Мельникова Мария Андреевна, Журавлев Анатолий Константинович, Лукьянов Николай Михайлович, Тимошин Владимир Васильевич, Богданов Андрей Афанасьевич, </w:t>
      </w:r>
      <w:proofErr w:type="spellStart"/>
      <w:r w:rsidRPr="00E202AC">
        <w:rPr>
          <w:rFonts w:ascii="Times New Roman" w:hAnsi="Times New Roman"/>
          <w:sz w:val="28"/>
          <w:szCs w:val="28"/>
        </w:rPr>
        <w:t>Федичева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Мария Дмитриевна, </w:t>
      </w:r>
      <w:proofErr w:type="spellStart"/>
      <w:r w:rsidRPr="00E202AC">
        <w:rPr>
          <w:rFonts w:ascii="Times New Roman" w:hAnsi="Times New Roman"/>
          <w:sz w:val="28"/>
          <w:szCs w:val="28"/>
        </w:rPr>
        <w:t>Чекомазов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Иван Федорович, </w:t>
      </w:r>
      <w:proofErr w:type="spellStart"/>
      <w:r w:rsidRPr="00E202AC">
        <w:rPr>
          <w:rFonts w:ascii="Times New Roman" w:hAnsi="Times New Roman"/>
          <w:sz w:val="28"/>
          <w:szCs w:val="28"/>
        </w:rPr>
        <w:t>Сибиричева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E202AC">
        <w:rPr>
          <w:rFonts w:ascii="Times New Roman" w:hAnsi="Times New Roman"/>
          <w:sz w:val="28"/>
          <w:szCs w:val="28"/>
        </w:rPr>
        <w:t>Демьяновна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, Корнеева Валентина Васильевна, </w:t>
      </w:r>
      <w:proofErr w:type="spellStart"/>
      <w:r w:rsidRPr="00E202AC">
        <w:rPr>
          <w:rFonts w:ascii="Times New Roman" w:hAnsi="Times New Roman"/>
          <w:sz w:val="28"/>
          <w:szCs w:val="28"/>
        </w:rPr>
        <w:t>Федичев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Егор Яковлевич, </w:t>
      </w:r>
      <w:proofErr w:type="spellStart"/>
      <w:r w:rsidRPr="00E202AC">
        <w:rPr>
          <w:rFonts w:ascii="Times New Roman" w:hAnsi="Times New Roman"/>
          <w:sz w:val="28"/>
          <w:szCs w:val="28"/>
        </w:rPr>
        <w:t>Кумеркин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Василий Павлович, Гришина Татьяна Лаврентьевна. </w:t>
      </w:r>
      <w:proofErr w:type="gramEnd"/>
    </w:p>
    <w:p w:rsidR="00C514E6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C514E6" w:rsidRPr="00E202AC" w:rsidRDefault="00C514E6" w:rsidP="00C514E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02AC">
        <w:rPr>
          <w:rFonts w:ascii="Times New Roman" w:hAnsi="Times New Roman"/>
          <w:sz w:val="28"/>
          <w:szCs w:val="28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поселения. По всем вопросам обращаться по адресу: Орловская область, Знаменский район, с. Знаменское, ул. Ленина, д. </w:t>
      </w:r>
      <w:r>
        <w:rPr>
          <w:rFonts w:ascii="Times New Roman" w:hAnsi="Times New Roman"/>
          <w:sz w:val="28"/>
          <w:szCs w:val="28"/>
        </w:rPr>
        <w:t>33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, Администрация </w:t>
      </w:r>
      <w:r w:rsidRPr="00E202AC">
        <w:rPr>
          <w:rFonts w:ascii="Times New Roman" w:hAnsi="Times New Roman"/>
          <w:sz w:val="28"/>
          <w:szCs w:val="28"/>
        </w:rPr>
        <w:lastRenderedPageBreak/>
        <w:t>Знаменского района (</w:t>
      </w:r>
      <w:r w:rsidRPr="00E202AC">
        <w:rPr>
          <w:rFonts w:ascii="Times New Roman" w:eastAsia="Calibri" w:hAnsi="Times New Roman"/>
          <w:sz w:val="28"/>
          <w:szCs w:val="28"/>
        </w:rPr>
        <w:t>И.о. начальника отдела по управлению муниципальной собственностью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02AC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202AC">
        <w:rPr>
          <w:rFonts w:ascii="Times New Roman" w:eastAsia="Calibri" w:hAnsi="Times New Roman"/>
          <w:sz w:val="28"/>
          <w:szCs w:val="28"/>
        </w:rPr>
        <w:t xml:space="preserve">Г.А. </w:t>
      </w:r>
      <w:proofErr w:type="spellStart"/>
      <w:r w:rsidRPr="00E202AC"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 w:rsidRPr="00E202AC">
        <w:rPr>
          <w:rFonts w:ascii="Times New Roman" w:eastAsia="Calibri" w:hAnsi="Times New Roman"/>
          <w:sz w:val="28"/>
          <w:szCs w:val="28"/>
        </w:rPr>
        <w:t>, тел. 8(48662)2-</w:t>
      </w:r>
      <w:r>
        <w:rPr>
          <w:rFonts w:ascii="Times New Roman" w:eastAsia="Calibri" w:hAnsi="Times New Roman"/>
          <w:sz w:val="28"/>
          <w:szCs w:val="28"/>
        </w:rPr>
        <w:t>14-17</w:t>
      </w:r>
      <w:r w:rsidRPr="00E202AC">
        <w:rPr>
          <w:rFonts w:ascii="Times New Roman" w:eastAsia="Calibri" w:hAnsi="Times New Roman"/>
          <w:sz w:val="28"/>
          <w:szCs w:val="28"/>
        </w:rPr>
        <w:t>, Глава Знаменского сельского поселения – В.В. Титова тел. 89192603406)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202AC">
        <w:rPr>
          <w:rFonts w:ascii="Times New Roman" w:hAnsi="Times New Roman"/>
          <w:sz w:val="28"/>
          <w:szCs w:val="28"/>
        </w:rPr>
        <w:t>В соответствии с п. 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57:02:0000000:10 расположенных по адресу: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СПК «Русь» (старое название КСП  «Русь»), о </w:t>
      </w:r>
      <w:r>
        <w:rPr>
          <w:rFonts w:ascii="Times New Roman" w:hAnsi="Times New Roman"/>
          <w:sz w:val="28"/>
          <w:szCs w:val="28"/>
        </w:rPr>
        <w:t>наличии списка</w:t>
      </w:r>
      <w:r w:rsidRPr="00E202AC">
        <w:rPr>
          <w:rFonts w:ascii="Times New Roman" w:hAnsi="Times New Roman"/>
          <w:sz w:val="28"/>
          <w:szCs w:val="28"/>
        </w:rPr>
        <w:t xml:space="preserve"> невостребованных земельных долей с площадью земельной доли каждого 12,8 га и проведения общего собрания по следующим вопросам:</w:t>
      </w:r>
    </w:p>
    <w:p w:rsidR="00C514E6" w:rsidRPr="00E202AC" w:rsidRDefault="00C514E6" w:rsidP="00C514E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C514E6" w:rsidRPr="00E202AC" w:rsidRDefault="00C514E6" w:rsidP="00C514E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  СПК «Русь» (старое название КСП «Русь»).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Собрание состоится в 12:30 </w:t>
      </w:r>
      <w:r w:rsidRPr="00E202A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 «28»ноября </w:t>
      </w:r>
      <w:r w:rsidRPr="00E202AC">
        <w:rPr>
          <w:rFonts w:ascii="Times New Roman" w:hAnsi="Times New Roman"/>
          <w:sz w:val="28"/>
          <w:szCs w:val="28"/>
        </w:rPr>
        <w:t xml:space="preserve">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 w:rsidRPr="00E202AC">
        <w:rPr>
          <w:rFonts w:ascii="Times New Roman" w:hAnsi="Times New Roman"/>
          <w:sz w:val="28"/>
          <w:szCs w:val="28"/>
        </w:rPr>
        <w:t>с</w:t>
      </w:r>
      <w:proofErr w:type="gramEnd"/>
      <w:r w:rsidRPr="00E202AC">
        <w:rPr>
          <w:rFonts w:ascii="Times New Roman" w:hAnsi="Times New Roman"/>
          <w:sz w:val="28"/>
          <w:szCs w:val="28"/>
        </w:rPr>
        <w:t xml:space="preserve">. Знаменское,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202AC">
        <w:rPr>
          <w:rFonts w:ascii="Times New Roman" w:hAnsi="Times New Roman"/>
          <w:sz w:val="28"/>
          <w:szCs w:val="28"/>
        </w:rPr>
        <w:t>ул. Ленина, д. 39.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02AC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ация участников собрания: с 12:00 часов до 12:15 </w:t>
      </w:r>
      <w:r w:rsidRPr="00E202AC">
        <w:rPr>
          <w:rFonts w:ascii="Times New Roman" w:hAnsi="Times New Roman"/>
          <w:sz w:val="28"/>
          <w:szCs w:val="28"/>
        </w:rPr>
        <w:t>часов.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02AC">
        <w:rPr>
          <w:rFonts w:ascii="Times New Roman" w:hAnsi="Times New Roman"/>
          <w:sz w:val="28"/>
          <w:szCs w:val="28"/>
        </w:rPr>
        <w:t>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02AC">
        <w:rPr>
          <w:rFonts w:ascii="Times New Roman" w:hAnsi="Times New Roman"/>
          <w:sz w:val="28"/>
          <w:szCs w:val="28"/>
        </w:rPr>
        <w:t>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Список </w:t>
      </w:r>
      <w:r w:rsidRPr="00E202AC">
        <w:rPr>
          <w:rFonts w:ascii="Times New Roman" w:hAnsi="Times New Roman"/>
          <w:sz w:val="28"/>
          <w:szCs w:val="28"/>
        </w:rPr>
        <w:t>невостребованных земельных долей: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2AC">
        <w:rPr>
          <w:rFonts w:ascii="Times New Roman" w:hAnsi="Times New Roman"/>
          <w:sz w:val="28"/>
          <w:szCs w:val="28"/>
        </w:rPr>
        <w:t>Рапаника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Григорий Дмитриевич, </w:t>
      </w:r>
      <w:proofErr w:type="spellStart"/>
      <w:r w:rsidRPr="00E202AC">
        <w:rPr>
          <w:rFonts w:ascii="Times New Roman" w:hAnsi="Times New Roman"/>
          <w:sz w:val="28"/>
          <w:szCs w:val="28"/>
        </w:rPr>
        <w:t>Рапаника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Ольга Дмитриевна, </w:t>
      </w:r>
      <w:proofErr w:type="spellStart"/>
      <w:r w:rsidRPr="00E202AC">
        <w:rPr>
          <w:rFonts w:ascii="Times New Roman" w:hAnsi="Times New Roman"/>
          <w:sz w:val="28"/>
          <w:szCs w:val="28"/>
        </w:rPr>
        <w:t>Жерин</w:t>
      </w:r>
      <w:proofErr w:type="spellEnd"/>
      <w:r w:rsidRPr="00E202AC">
        <w:rPr>
          <w:rFonts w:ascii="Times New Roman" w:hAnsi="Times New Roman"/>
          <w:sz w:val="28"/>
          <w:szCs w:val="28"/>
        </w:rPr>
        <w:t xml:space="preserve"> Николай Александрович, Журавлева Мария Николаевна, Игнатова Мария Афанасьевна,</w:t>
      </w:r>
      <w:r>
        <w:rPr>
          <w:rFonts w:ascii="Times New Roman" w:hAnsi="Times New Roman"/>
          <w:sz w:val="28"/>
          <w:szCs w:val="28"/>
        </w:rPr>
        <w:t xml:space="preserve"> Масюк Валентина Александровна</w:t>
      </w:r>
      <w:r w:rsidRPr="00E202AC">
        <w:rPr>
          <w:rFonts w:ascii="Times New Roman" w:hAnsi="Times New Roman"/>
          <w:sz w:val="28"/>
          <w:szCs w:val="28"/>
        </w:rPr>
        <w:t xml:space="preserve">. </w:t>
      </w:r>
    </w:p>
    <w:p w:rsidR="00C514E6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C514E6" w:rsidRPr="00E202AC" w:rsidRDefault="00C514E6" w:rsidP="00C514E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02AC">
        <w:rPr>
          <w:rFonts w:ascii="Times New Roman" w:hAnsi="Times New Roman"/>
          <w:sz w:val="28"/>
          <w:szCs w:val="28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поселения. По всем вопросам обращаться по адресу: Орловская область, Знаменский район, с. Знаменское, ул. Ленина, д. 33 А , Администрация </w:t>
      </w:r>
      <w:r w:rsidRPr="00E202AC">
        <w:rPr>
          <w:rFonts w:ascii="Times New Roman" w:hAnsi="Times New Roman"/>
          <w:sz w:val="28"/>
          <w:szCs w:val="28"/>
        </w:rPr>
        <w:lastRenderedPageBreak/>
        <w:t>Знаменского района (</w:t>
      </w:r>
      <w:r w:rsidRPr="00E202AC">
        <w:rPr>
          <w:rFonts w:ascii="Times New Roman" w:eastAsia="Calibri" w:hAnsi="Times New Roman"/>
          <w:sz w:val="28"/>
          <w:szCs w:val="28"/>
        </w:rPr>
        <w:t xml:space="preserve">И.о. начальника отдела по управлению муниципальной </w:t>
      </w:r>
      <w:proofErr w:type="spellStart"/>
      <w:r w:rsidRPr="00E202AC">
        <w:rPr>
          <w:rFonts w:ascii="Times New Roman" w:eastAsia="Calibri" w:hAnsi="Times New Roman"/>
          <w:sz w:val="28"/>
          <w:szCs w:val="28"/>
        </w:rPr>
        <w:t>собственностью-Г</w:t>
      </w:r>
      <w:proofErr w:type="gramStart"/>
      <w:r w:rsidRPr="00E202AC">
        <w:rPr>
          <w:rFonts w:ascii="Times New Roman" w:eastAsia="Calibri" w:hAnsi="Times New Roman"/>
          <w:sz w:val="28"/>
          <w:szCs w:val="28"/>
        </w:rPr>
        <w:t>.А</w:t>
      </w:r>
      <w:proofErr w:type="spellEnd"/>
      <w:proofErr w:type="gramEnd"/>
      <w:r w:rsidRPr="00E202AC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E202AC"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 w:rsidRPr="00E202AC">
        <w:rPr>
          <w:rFonts w:ascii="Times New Roman" w:eastAsia="Calibri" w:hAnsi="Times New Roman"/>
          <w:sz w:val="28"/>
          <w:szCs w:val="28"/>
        </w:rPr>
        <w:t>, тел. 8(48662)2-</w:t>
      </w:r>
      <w:r>
        <w:rPr>
          <w:rFonts w:ascii="Times New Roman" w:eastAsia="Calibri" w:hAnsi="Times New Roman"/>
          <w:sz w:val="28"/>
          <w:szCs w:val="28"/>
        </w:rPr>
        <w:t>14-17</w:t>
      </w:r>
      <w:r w:rsidRPr="00E202AC">
        <w:rPr>
          <w:rFonts w:ascii="Times New Roman" w:eastAsia="Calibri" w:hAnsi="Times New Roman"/>
          <w:sz w:val="28"/>
          <w:szCs w:val="28"/>
        </w:rPr>
        <w:t>, Глава Знаменского сельского поселения – В.В. Титова тел. 89192603406)</w:t>
      </w:r>
    </w:p>
    <w:p w:rsidR="00C514E6" w:rsidRPr="00E202AC" w:rsidRDefault="00C514E6" w:rsidP="00C51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4E6" w:rsidRDefault="00C514E6" w:rsidP="00C514E6"/>
    <w:p w:rsidR="00C514E6" w:rsidRDefault="00C514E6" w:rsidP="00C514E6"/>
    <w:p w:rsidR="00C514E6" w:rsidRDefault="00C514E6" w:rsidP="00C514E6"/>
    <w:p w:rsidR="00C514E6" w:rsidRPr="00C05481" w:rsidRDefault="00C514E6" w:rsidP="00C514E6"/>
    <w:p w:rsidR="00B14692" w:rsidRDefault="00B14692"/>
    <w:sectPr w:rsidR="00B14692" w:rsidSect="000B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238"/>
    <w:multiLevelType w:val="hybridMultilevel"/>
    <w:tmpl w:val="4D366974"/>
    <w:lvl w:ilvl="0" w:tplc="8C923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5B7B53"/>
    <w:multiLevelType w:val="hybridMultilevel"/>
    <w:tmpl w:val="D9FC218E"/>
    <w:lvl w:ilvl="0" w:tplc="2B98BD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B177C0D"/>
    <w:multiLevelType w:val="hybridMultilevel"/>
    <w:tmpl w:val="82CE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148A"/>
    <w:multiLevelType w:val="hybridMultilevel"/>
    <w:tmpl w:val="5F8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4E6"/>
    <w:rsid w:val="00B14692"/>
    <w:rsid w:val="00C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14E6"/>
    <w:pPr>
      <w:suppressAutoHyphens/>
      <w:spacing w:after="0" w:line="240" w:lineRule="auto"/>
    </w:pPr>
    <w:rPr>
      <w:rFonts w:eastAsiaTheme="minorHAns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1889</Words>
  <Characters>10772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2022-08-19T12:56:00Z</dcterms:created>
  <dcterms:modified xsi:type="dcterms:W3CDTF">2022-08-19T12:58:00Z</dcterms:modified>
</cp:coreProperties>
</file>