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FF5988" w:rsidRPr="00FF5988" w:rsidRDefault="004230E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1 января 2017 года зарегистрировать права на строения, расположенные на</w:t>
      </w:r>
      <w:r w:rsidR="00AE603A"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дачно</w:t>
      </w:r>
      <w:r w:rsidR="00AE603A">
        <w:rPr>
          <w:rFonts w:ascii="Times New Roman" w:hAnsi="Times New Roman" w:cs="Times New Roman"/>
          <w:sz w:val="28"/>
          <w:szCs w:val="28"/>
        </w:rPr>
        <w:t>го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или садово</w:t>
      </w:r>
      <w:r w:rsidR="00AE603A">
        <w:rPr>
          <w:rFonts w:ascii="Times New Roman" w:hAnsi="Times New Roman" w:cs="Times New Roman"/>
          <w:sz w:val="28"/>
          <w:szCs w:val="28"/>
        </w:rPr>
        <w:t>го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</w:t>
      </w:r>
      <w:r w:rsidR="00AE603A">
        <w:rPr>
          <w:rFonts w:ascii="Times New Roman" w:hAnsi="Times New Roman" w:cs="Times New Roman"/>
          <w:sz w:val="28"/>
          <w:szCs w:val="28"/>
        </w:rPr>
        <w:t>товарищества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, можно будет только при наличии технического плана. Ранее оформление садового домика </w:t>
      </w:r>
      <w:r w:rsidR="006B4B8E">
        <w:rPr>
          <w:rFonts w:ascii="Times New Roman" w:hAnsi="Times New Roman" w:cs="Times New Roman"/>
          <w:sz w:val="28"/>
          <w:szCs w:val="28"/>
        </w:rPr>
        <w:t>происходило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по декларации, которую заполняли владельцы недвижимости собственноручно. </w:t>
      </w:r>
    </w:p>
    <w:p w:rsidR="00FF5988" w:rsidRPr="00FF5988" w:rsidRDefault="00FF5988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88">
        <w:rPr>
          <w:rFonts w:ascii="Times New Roman" w:hAnsi="Times New Roman" w:cs="Times New Roman"/>
          <w:sz w:val="28"/>
          <w:szCs w:val="28"/>
        </w:rPr>
        <w:t>Теперь вместо декларации об объекте понадобится технический план здания</w:t>
      </w:r>
      <w:r w:rsidR="00AE603A">
        <w:rPr>
          <w:rFonts w:ascii="Times New Roman" w:hAnsi="Times New Roman" w:cs="Times New Roman"/>
          <w:sz w:val="28"/>
          <w:szCs w:val="28"/>
        </w:rPr>
        <w:t>, что позволит избежать указания неверных сведений об объекте недвижимости</w:t>
      </w:r>
      <w:r w:rsidRPr="00FF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988" w:rsidRPr="00FF5988" w:rsidRDefault="00FF5988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88">
        <w:rPr>
          <w:rFonts w:ascii="Times New Roman" w:hAnsi="Times New Roman" w:cs="Times New Roman"/>
          <w:sz w:val="28"/>
          <w:szCs w:val="28"/>
        </w:rPr>
        <w:t xml:space="preserve">Для его изготовления необходимо обратиться к кадастровому инженеру, который проведет обмеры постройки, определит его точные координаты с привязкой объекта к земельному участку и составит технический план. </w:t>
      </w:r>
    </w:p>
    <w:p w:rsidR="00FF5988" w:rsidRPr="00FF5988" w:rsidRDefault="00AE603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1 декабря 2016 года все кадастровые инженеры обязаны состоять в одной из саморегулируемых организаций (СРО), которые контролируют их профессиональную деятельность. </w:t>
      </w:r>
    </w:p>
    <w:p w:rsidR="00FF5988" w:rsidRPr="00FF5988" w:rsidRDefault="004230EA" w:rsidP="006B4B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выбрать кадастрового инженера и у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6B4B8E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информацию о действующих </w:t>
      </w:r>
      <w:r w:rsidRPr="00FF59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кадастровых инженерах </w:t>
      </w:r>
      <w:r>
        <w:rPr>
          <w:rFonts w:ascii="Times New Roman" w:hAnsi="Times New Roman" w:cs="Times New Roman"/>
          <w:sz w:val="28"/>
          <w:szCs w:val="28"/>
        </w:rPr>
        <w:t xml:space="preserve">можно с помощью </w:t>
      </w:r>
      <w:r w:rsidR="00FF5988" w:rsidRPr="00FF598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988" w:rsidRPr="00FF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988" w:rsidRPr="00FF59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5988" w:rsidRPr="00FF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6B4B8E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101600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3F6132"/>
    <w:rsid w:val="00420921"/>
    <w:rsid w:val="004230EA"/>
    <w:rsid w:val="00451A8F"/>
    <w:rsid w:val="0048130B"/>
    <w:rsid w:val="004848AE"/>
    <w:rsid w:val="0048647B"/>
    <w:rsid w:val="004C38CC"/>
    <w:rsid w:val="004E38E7"/>
    <w:rsid w:val="005D3F6E"/>
    <w:rsid w:val="005E58A3"/>
    <w:rsid w:val="006B4B8E"/>
    <w:rsid w:val="00723EE3"/>
    <w:rsid w:val="00785172"/>
    <w:rsid w:val="00822C76"/>
    <w:rsid w:val="00836ED4"/>
    <w:rsid w:val="008372D3"/>
    <w:rsid w:val="00857258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AE603A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2017-01-17T06:09:00Z</dcterms:created>
  <dcterms:modified xsi:type="dcterms:W3CDTF">2017-01-17T06:09:00Z</dcterms:modified>
</cp:coreProperties>
</file>