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00EF1" w:rsidRPr="004F2CD1" w:rsidRDefault="004F2CD1" w:rsidP="004F2CD1">
      <w:pPr>
        <w:spacing w:line="276" w:lineRule="auto"/>
        <w:jc w:val="center"/>
        <w:rPr>
          <w:b/>
          <w:color w:val="0070C0"/>
          <w:sz w:val="28"/>
        </w:rPr>
      </w:pPr>
      <w:r w:rsidRPr="004F2CD1">
        <w:rPr>
          <w:b/>
          <w:color w:val="0070C0"/>
          <w:sz w:val="28"/>
        </w:rPr>
        <w:t>ОРЛОВЦАМ ПРОДЛИЛИ «ДАЧНУЮ АМНИСТИЮ» ЕЩЁ НА ПЯТЬ ЛЕТ</w:t>
      </w:r>
    </w:p>
    <w:p w:rsidR="004F2CD1" w:rsidRDefault="004F2CD1">
      <w:pPr>
        <w:spacing w:line="276" w:lineRule="auto"/>
        <w:ind w:firstLine="709"/>
        <w:jc w:val="both"/>
        <w:rPr>
          <w:sz w:val="28"/>
        </w:rPr>
      </w:pPr>
    </w:p>
    <w:p w:rsidR="004F2CD1" w:rsidRPr="004F2CD1" w:rsidRDefault="004F2CD1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</w:t>
      </w:r>
      <w:r w:rsidRPr="004F2CD1">
        <w:rPr>
          <w:sz w:val="28"/>
        </w:rPr>
        <w:t>прощенный порядок</w:t>
      </w:r>
      <w:r>
        <w:rPr>
          <w:sz w:val="28"/>
        </w:rPr>
        <w:t xml:space="preserve"> </w:t>
      </w:r>
      <w:r w:rsidRPr="004F2CD1">
        <w:rPr>
          <w:sz w:val="28"/>
        </w:rPr>
        <w:t xml:space="preserve">регистрации прав </w:t>
      </w:r>
      <w:r>
        <w:rPr>
          <w:sz w:val="28"/>
        </w:rPr>
        <w:t>решено п</w:t>
      </w:r>
      <w:r w:rsidRPr="004F2CD1">
        <w:rPr>
          <w:sz w:val="28"/>
        </w:rPr>
        <w:t>родлить еще на 5 лет. Президент России Владимир Путин подписал закон о продлении</w:t>
      </w:r>
      <w:r w:rsidR="00B30627">
        <w:rPr>
          <w:sz w:val="28"/>
        </w:rPr>
        <w:t xml:space="preserve"> «</w:t>
      </w:r>
      <w:r w:rsidR="00B30627" w:rsidRPr="004F2CD1">
        <w:rPr>
          <w:sz w:val="28"/>
        </w:rPr>
        <w:t>дачной амнистии</w:t>
      </w:r>
      <w:r w:rsidR="00B30627">
        <w:rPr>
          <w:sz w:val="28"/>
        </w:rPr>
        <w:t>»</w:t>
      </w:r>
      <w:r w:rsidRPr="004F2CD1">
        <w:rPr>
          <w:sz w:val="28"/>
        </w:rPr>
        <w:t xml:space="preserve"> до 1 марта 2026 года</w:t>
      </w:r>
      <w:r>
        <w:rPr>
          <w:sz w:val="28"/>
        </w:rPr>
        <w:t>.</w:t>
      </w: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E5FBA" w:rsidRPr="005A6E63">
        <w:rPr>
          <w:i/>
          <w:sz w:val="28"/>
        </w:rPr>
        <w:t xml:space="preserve">Теперь </w:t>
      </w:r>
      <w:r w:rsidR="004F2CD1" w:rsidRPr="005A6E63">
        <w:rPr>
          <w:i/>
          <w:sz w:val="28"/>
        </w:rPr>
        <w:t xml:space="preserve">действие </w:t>
      </w:r>
      <w:r w:rsidR="00AE5FBA" w:rsidRPr="005A6E63">
        <w:rPr>
          <w:i/>
          <w:sz w:val="28"/>
        </w:rPr>
        <w:t>«</w:t>
      </w:r>
      <w:r w:rsidR="004F2CD1" w:rsidRPr="005A6E63">
        <w:rPr>
          <w:i/>
          <w:sz w:val="28"/>
        </w:rPr>
        <w:t>дачной амнистии</w:t>
      </w:r>
      <w:r w:rsidR="00AE5FBA" w:rsidRPr="005A6E63">
        <w:rPr>
          <w:i/>
          <w:sz w:val="28"/>
        </w:rPr>
        <w:t>»</w:t>
      </w:r>
      <w:r w:rsidR="004F2CD1" w:rsidRPr="005A6E63">
        <w:rPr>
          <w:i/>
          <w:sz w:val="28"/>
        </w:rPr>
        <w:t xml:space="preserve"> расширено</w:t>
      </w:r>
      <w:r w:rsidR="00B30627" w:rsidRPr="005A6E63">
        <w:rPr>
          <w:i/>
          <w:sz w:val="28"/>
        </w:rPr>
        <w:t>.</w:t>
      </w:r>
      <w:r w:rsidR="004F2CD1" w:rsidRPr="005A6E63">
        <w:rPr>
          <w:i/>
          <w:sz w:val="28"/>
        </w:rPr>
        <w:t xml:space="preserve"> </w:t>
      </w:r>
      <w:r w:rsidR="00B30627" w:rsidRPr="005A6E63">
        <w:rPr>
          <w:i/>
          <w:sz w:val="28"/>
        </w:rPr>
        <w:t>Упрощенный порядок может применяться не только для регистрации прав на жилой или садовый дом на участке, предназначенном для садоводства, но и для индивидуального жилищного строительства или для ведения личного подсобного хозяйства.</w:t>
      </w:r>
      <w:r w:rsidR="00B30627" w:rsidRPr="003D68B5">
        <w:rPr>
          <w:i/>
          <w:sz w:val="28"/>
        </w:rPr>
        <w:t xml:space="preserve"> </w:t>
      </w:r>
      <w:r w:rsidRPr="003D68B5">
        <w:rPr>
          <w:i/>
          <w:sz w:val="28"/>
        </w:rPr>
        <w:t>При этом строение должно соответствовать параметрам ИЖС, установленным Градостроительным кодексом. Например, не более трех надземных этажей, высота дома не более 20 метров</w:t>
      </w:r>
      <w:r>
        <w:rPr>
          <w:sz w:val="28"/>
        </w:rPr>
        <w:t>, - пояснила руководитель Управления Росреестра по Орловской области Надежда Кацура</w:t>
      </w:r>
      <w:r w:rsidRPr="003D68B5">
        <w:rPr>
          <w:sz w:val="28"/>
        </w:rPr>
        <w:t>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  <w:r w:rsidRPr="004F2CD1">
        <w:rPr>
          <w:sz w:val="28"/>
        </w:rPr>
        <w:t xml:space="preserve">Для оформлении дома по </w:t>
      </w:r>
      <w:r>
        <w:rPr>
          <w:sz w:val="28"/>
        </w:rPr>
        <w:t>«</w:t>
      </w:r>
      <w:r w:rsidRPr="004F2CD1">
        <w:rPr>
          <w:sz w:val="28"/>
        </w:rPr>
        <w:t>амнистии</w:t>
      </w:r>
      <w:r>
        <w:rPr>
          <w:sz w:val="28"/>
        </w:rPr>
        <w:t>»</w:t>
      </w:r>
      <w:r w:rsidRPr="004F2CD1">
        <w:rPr>
          <w:sz w:val="28"/>
        </w:rPr>
        <w:t xml:space="preserve"> </w:t>
      </w:r>
      <w:r>
        <w:rPr>
          <w:sz w:val="28"/>
        </w:rPr>
        <w:t>потребуется технический план здания,</w:t>
      </w:r>
      <w:r w:rsidRPr="003D68B5">
        <w:rPr>
          <w:sz w:val="28"/>
        </w:rPr>
        <w:t xml:space="preserve"> </w:t>
      </w:r>
      <w:r w:rsidRPr="004F2CD1">
        <w:rPr>
          <w:sz w:val="28"/>
        </w:rPr>
        <w:t>составленный кадастровым инженером;</w:t>
      </w:r>
      <w:r>
        <w:rPr>
          <w:sz w:val="28"/>
        </w:rPr>
        <w:t xml:space="preserve"> </w:t>
      </w:r>
      <w:r w:rsidRPr="003D68B5">
        <w:rPr>
          <w:sz w:val="28"/>
        </w:rPr>
        <w:t>документы на земельный участок</w:t>
      </w:r>
      <w:r>
        <w:rPr>
          <w:sz w:val="28"/>
        </w:rPr>
        <w:t xml:space="preserve">; </w:t>
      </w:r>
      <w:r w:rsidRPr="004F2CD1">
        <w:rPr>
          <w:sz w:val="28"/>
        </w:rPr>
        <w:t xml:space="preserve">декларация, заполненная самим </w:t>
      </w:r>
      <w:r>
        <w:rPr>
          <w:sz w:val="28"/>
        </w:rPr>
        <w:t>правообладателем</w:t>
      </w:r>
      <w:r w:rsidRPr="004F2CD1">
        <w:rPr>
          <w:sz w:val="28"/>
        </w:rPr>
        <w:t>.</w:t>
      </w:r>
      <w:r w:rsidRPr="00B30627">
        <w:rPr>
          <w:sz w:val="28"/>
        </w:rPr>
        <w:t xml:space="preserve"> Наличие уведомлений о планируемом строительстве и его окончании не требуется.</w:t>
      </w:r>
    </w:p>
    <w:p w:rsidR="006A2025" w:rsidRDefault="006A2025" w:rsidP="003D68B5">
      <w:pPr>
        <w:spacing w:line="276" w:lineRule="auto"/>
        <w:ind w:firstLine="709"/>
        <w:jc w:val="both"/>
        <w:rPr>
          <w:sz w:val="28"/>
        </w:rPr>
      </w:pPr>
      <w:r w:rsidRPr="004F2CD1">
        <w:rPr>
          <w:sz w:val="28"/>
        </w:rPr>
        <w:t>Все документы владелец недвижимости может подать в Росреестр самостоятельно</w:t>
      </w:r>
      <w:r>
        <w:rPr>
          <w:sz w:val="28"/>
        </w:rPr>
        <w:t>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Кроме того,</w:t>
      </w:r>
      <w:r w:rsidR="006A2025">
        <w:rPr>
          <w:sz w:val="28"/>
        </w:rPr>
        <w:t xml:space="preserve"> </w:t>
      </w:r>
      <w:r w:rsidR="006A2025" w:rsidRPr="006A2025">
        <w:rPr>
          <w:sz w:val="28"/>
        </w:rPr>
        <w:t>на пять лет продле</w:t>
      </w:r>
      <w:r w:rsidR="006A2025">
        <w:rPr>
          <w:sz w:val="28"/>
        </w:rPr>
        <w:t>н</w:t>
      </w:r>
      <w:r w:rsidR="006A2025" w:rsidRPr="006A2025">
        <w:rPr>
          <w:sz w:val="28"/>
        </w:rPr>
        <w:t xml:space="preserve"> срок действия положений о возможности направления уведомлений о строительстве жилых домов, возведение которых было начато до 4 августа 2018 года.</w:t>
      </w:r>
    </w:p>
    <w:p w:rsidR="00B30627" w:rsidRDefault="003D68B5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 января по декабрь </w:t>
      </w:r>
      <w:r w:rsidR="006A2025">
        <w:rPr>
          <w:sz w:val="28"/>
        </w:rPr>
        <w:t xml:space="preserve">текущего года </w:t>
      </w:r>
      <w:r>
        <w:rPr>
          <w:sz w:val="28"/>
        </w:rPr>
        <w:t xml:space="preserve">по «дачной амнистии» орловцы оформили более </w:t>
      </w:r>
      <w:r w:rsidR="006A2025">
        <w:rPr>
          <w:sz w:val="28"/>
        </w:rPr>
        <w:t>трёх тысяч</w:t>
      </w:r>
      <w:r>
        <w:rPr>
          <w:sz w:val="28"/>
        </w:rPr>
        <w:t xml:space="preserve"> объектов недвижимости.</w:t>
      </w:r>
    </w:p>
    <w:p w:rsidR="00B30627" w:rsidRDefault="00B30627" w:rsidP="004F2CD1">
      <w:pPr>
        <w:spacing w:line="276" w:lineRule="auto"/>
        <w:ind w:firstLine="709"/>
        <w:jc w:val="both"/>
        <w:rPr>
          <w:sz w:val="28"/>
        </w:rPr>
      </w:pPr>
    </w:p>
    <w:p w:rsidR="004F2CD1" w:rsidRPr="004F2CD1" w:rsidRDefault="004F2CD1" w:rsidP="004F2CD1">
      <w:pPr>
        <w:spacing w:line="276" w:lineRule="auto"/>
        <w:ind w:firstLine="709"/>
        <w:jc w:val="both"/>
        <w:rPr>
          <w:sz w:val="28"/>
        </w:rPr>
      </w:pPr>
    </w:p>
    <w:p w:rsidR="00900EF1" w:rsidRDefault="005A35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3D68B5"/>
    <w:rsid w:val="004F2CD1"/>
    <w:rsid w:val="005A35BD"/>
    <w:rsid w:val="005A6E63"/>
    <w:rsid w:val="006A2025"/>
    <w:rsid w:val="007867E1"/>
    <w:rsid w:val="00900EF1"/>
    <w:rsid w:val="00950E99"/>
    <w:rsid w:val="00AE5FBA"/>
    <w:rsid w:val="00B30627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2020-12-09T07:31:00Z</cp:lastPrinted>
  <dcterms:created xsi:type="dcterms:W3CDTF">2020-12-09T09:05:00Z</dcterms:created>
  <dcterms:modified xsi:type="dcterms:W3CDTF">2020-12-09T09:05:00Z</dcterms:modified>
</cp:coreProperties>
</file>